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1C77487A" w14:textId="4175C0F8" w:rsidR="00F71E5C"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r w:rsidR="00F71E5C">
        <w:rPr>
          <w:rFonts w:asciiTheme="minorHAnsi" w:hAnsiTheme="minorHAnsi" w:cstheme="minorHAnsi"/>
          <w:bCs/>
          <w:color w:val="000000"/>
          <w:sz w:val="22"/>
          <w:szCs w:val="22"/>
        </w:rPr>
        <w:br/>
      </w:r>
      <w:r w:rsidR="00F71E5C" w:rsidRPr="00F71E5C">
        <w:rPr>
          <w:rFonts w:asciiTheme="minorHAnsi" w:hAnsiTheme="minorHAnsi" w:cstheme="minorHAnsi"/>
          <w:b/>
          <w:bCs/>
          <w:color w:val="000000"/>
          <w:sz w:val="22"/>
          <w:szCs w:val="22"/>
        </w:rPr>
        <w:t xml:space="preserve">NR </w:t>
      </w:r>
      <w:r w:rsidR="00E654EF">
        <w:rPr>
          <w:rFonts w:asciiTheme="minorHAnsi" w:hAnsiTheme="minorHAnsi" w:cstheme="minorHAnsi"/>
          <w:b/>
          <w:bCs/>
          <w:color w:val="000000"/>
          <w:sz w:val="22"/>
          <w:szCs w:val="22"/>
        </w:rPr>
        <w:t>SZP.225-</w:t>
      </w:r>
      <w:r w:rsidR="0027760A">
        <w:rPr>
          <w:rFonts w:asciiTheme="minorHAnsi" w:hAnsiTheme="minorHAnsi" w:cstheme="minorHAnsi"/>
          <w:b/>
          <w:bCs/>
          <w:color w:val="000000"/>
          <w:sz w:val="22"/>
          <w:szCs w:val="22"/>
        </w:rPr>
        <w:t>30</w:t>
      </w:r>
      <w:r w:rsidR="00E654EF">
        <w:rPr>
          <w:rFonts w:asciiTheme="minorHAnsi" w:hAnsiTheme="minorHAnsi" w:cstheme="minorHAnsi"/>
          <w:b/>
          <w:bCs/>
          <w:color w:val="000000"/>
          <w:sz w:val="22"/>
          <w:szCs w:val="22"/>
        </w:rPr>
        <w:t>.2025</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07512278"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116DD8">
        <w:rPr>
          <w:rFonts w:asciiTheme="minorHAnsi" w:hAnsiTheme="minorHAnsi" w:cstheme="minorHAnsi"/>
          <w:b/>
          <w:bCs/>
          <w:color w:val="000000"/>
          <w:sz w:val="22"/>
          <w:szCs w:val="22"/>
        </w:rPr>
        <w:t>12.06.</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02250930" w14:textId="77777777" w:rsidR="0027760A" w:rsidRDefault="0027760A" w:rsidP="00E654EF">
      <w:pPr>
        <w:pStyle w:val="NormalnyWeb"/>
        <w:spacing w:line="360" w:lineRule="auto"/>
        <w:jc w:val="center"/>
        <w:rPr>
          <w:rFonts w:ascii="Calibri" w:hAnsi="Calibri"/>
          <w:b/>
          <w:i/>
          <w:sz w:val="22"/>
          <w:szCs w:val="22"/>
        </w:rPr>
      </w:pPr>
    </w:p>
    <w:p w14:paraId="2533EE14" w14:textId="2B364D44" w:rsidR="0027760A" w:rsidRPr="00116DD8" w:rsidRDefault="00116DD8" w:rsidP="00E654EF">
      <w:pPr>
        <w:pStyle w:val="NormalnyWeb"/>
        <w:spacing w:line="360" w:lineRule="auto"/>
        <w:jc w:val="center"/>
        <w:rPr>
          <w:rStyle w:val="Pogrubienie"/>
          <w:rFonts w:asciiTheme="minorHAnsi" w:hAnsiTheme="minorHAnsi" w:cstheme="minorHAnsi"/>
          <w:b w:val="0"/>
          <w:sz w:val="32"/>
          <w:szCs w:val="22"/>
        </w:rPr>
      </w:pPr>
      <w:r w:rsidRPr="00116DD8">
        <w:rPr>
          <w:rFonts w:asciiTheme="minorHAnsi" w:eastAsiaTheme="minorEastAsia" w:hAnsiTheme="minorHAnsi" w:cstheme="minorHAnsi"/>
          <w:b/>
          <w:bCs/>
          <w:i/>
          <w:iCs/>
          <w:color w:val="000000" w:themeColor="text1"/>
          <w:sz w:val="32"/>
          <w:szCs w:val="22"/>
        </w:rPr>
        <w:t>Sukcesywna dostawa części samochodowych</w:t>
      </w: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3C2CC1DC" w14:textId="0297C1C5" w:rsidR="00522930" w:rsidRDefault="00957782" w:rsidP="005A17DE">
      <w:pPr>
        <w:pStyle w:val="Akapitzlist"/>
        <w:suppressAutoHyphens/>
        <w:overflowPunct w:val="0"/>
        <w:autoSpaceDE w:val="0"/>
        <w:spacing w:line="360" w:lineRule="auto"/>
        <w:ind w:left="0"/>
        <w:jc w:val="both"/>
        <w:rPr>
          <w:rFonts w:asciiTheme="minorHAnsi" w:eastAsiaTheme="minorEastAsia" w:hAnsiTheme="minorHAnsi" w:cstheme="minorHAnsi"/>
          <w:bCs/>
          <w:i/>
          <w:iCs/>
          <w:color w:val="000000" w:themeColor="text1"/>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27760A">
        <w:rPr>
          <w:rFonts w:asciiTheme="minorHAnsi" w:eastAsiaTheme="minorEastAsia" w:hAnsiTheme="minorHAnsi" w:cstheme="minorHAnsi"/>
          <w:bCs/>
          <w:i/>
          <w:iCs/>
          <w:color w:val="000000" w:themeColor="text1"/>
          <w:sz w:val="22"/>
          <w:szCs w:val="22"/>
        </w:rPr>
        <w:t>Sukcesywna dostawa części samochodowych</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6986DC26" w14:textId="288CCF77" w:rsidR="0027760A" w:rsidRPr="0027760A" w:rsidRDefault="00E654EF" w:rsidP="0027760A">
      <w:pPr>
        <w:spacing w:line="360" w:lineRule="auto"/>
        <w:jc w:val="both"/>
        <w:rPr>
          <w:rFonts w:asciiTheme="minorHAnsi" w:hAnsiTheme="minorHAnsi" w:cstheme="minorHAnsi"/>
          <w:sz w:val="22"/>
          <w:szCs w:val="22"/>
        </w:rPr>
      </w:pPr>
      <w:r w:rsidRPr="0027760A">
        <w:rPr>
          <w:rFonts w:asciiTheme="minorHAnsi" w:hAnsiTheme="minorHAnsi" w:cstheme="minorHAnsi"/>
          <w:snapToGrid w:val="0"/>
          <w:sz w:val="22"/>
          <w:szCs w:val="22"/>
        </w:rPr>
        <w:t xml:space="preserve">Umowa z wybranym wykonawca zostanie zawarta na okres </w:t>
      </w:r>
      <w:r w:rsidR="0027760A" w:rsidRPr="0027760A">
        <w:rPr>
          <w:rFonts w:asciiTheme="minorHAnsi" w:hAnsiTheme="minorHAnsi" w:cstheme="minorHAnsi"/>
          <w:sz w:val="22"/>
          <w:szCs w:val="22"/>
        </w:rPr>
        <w:t xml:space="preserve">od </w:t>
      </w:r>
      <w:r w:rsidR="0027760A" w:rsidRPr="0027760A">
        <w:rPr>
          <w:rFonts w:asciiTheme="minorHAnsi" w:hAnsiTheme="minorHAnsi" w:cstheme="minorHAnsi"/>
          <w:b/>
          <w:sz w:val="22"/>
          <w:szCs w:val="22"/>
        </w:rPr>
        <w:t>01.07.2025 do 31.12.2026</w:t>
      </w:r>
      <w:r w:rsidR="0027760A" w:rsidRPr="0027760A">
        <w:rPr>
          <w:rFonts w:asciiTheme="minorHAnsi" w:hAnsiTheme="minorHAnsi" w:cstheme="minorHAnsi"/>
          <w:sz w:val="22"/>
          <w:szCs w:val="22"/>
        </w:rPr>
        <w:t xml:space="preserve"> lub do wyczerpania maksymalnej wartości brutto umowy,</w:t>
      </w:r>
    </w:p>
    <w:p w14:paraId="070CF828" w14:textId="77777777" w:rsidR="0027760A" w:rsidRDefault="0027760A" w:rsidP="00C53375">
      <w:pPr>
        <w:spacing w:line="360" w:lineRule="auto"/>
        <w:jc w:val="both"/>
        <w:rPr>
          <w:rFonts w:asciiTheme="minorHAnsi" w:hAnsiTheme="minorHAnsi" w:cstheme="minorHAnsi"/>
          <w:b/>
          <w:sz w:val="22"/>
          <w:szCs w:val="22"/>
        </w:rPr>
      </w:pPr>
    </w:p>
    <w:p w14:paraId="3A0EDD2C" w14:textId="37B3C803"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1E581CA" w14:textId="1D8681C8" w:rsidR="0027760A" w:rsidRPr="00621B22" w:rsidRDefault="0027760A" w:rsidP="0027760A">
      <w:pPr>
        <w:spacing w:line="360" w:lineRule="auto"/>
        <w:jc w:val="both"/>
        <w:rPr>
          <w:rFonts w:asciiTheme="minorHAnsi" w:hAnsiTheme="minorHAnsi"/>
          <w:sz w:val="22"/>
          <w:szCs w:val="22"/>
        </w:rPr>
      </w:pPr>
      <w:r w:rsidRPr="00621B22">
        <w:rPr>
          <w:rFonts w:asciiTheme="minorHAnsi" w:hAnsiTheme="minorHAnsi"/>
          <w:sz w:val="22"/>
          <w:szCs w:val="22"/>
        </w:rPr>
        <w:t xml:space="preserve">34330000-9 </w:t>
      </w:r>
      <w:r w:rsidRPr="00621B22">
        <w:rPr>
          <w:rFonts w:asciiTheme="minorHAnsi" w:hAnsiTheme="minorHAnsi" w:cstheme="minorHAnsi"/>
          <w:sz w:val="22"/>
          <w:szCs w:val="22"/>
        </w:rPr>
        <w:t xml:space="preserve">– </w:t>
      </w:r>
      <w:r w:rsidRPr="00621B22">
        <w:rPr>
          <w:rFonts w:asciiTheme="minorHAnsi" w:hAnsiTheme="minorHAnsi"/>
          <w:sz w:val="22"/>
          <w:szCs w:val="22"/>
        </w:rPr>
        <w:t xml:space="preserve">Części zapasowe do pojazdów do transportu towarów, pojazdów pasażersko-towarowych i </w:t>
      </w:r>
      <w:r>
        <w:rPr>
          <w:rFonts w:asciiTheme="minorHAnsi" w:hAnsiTheme="minorHAnsi"/>
          <w:sz w:val="22"/>
          <w:szCs w:val="22"/>
        </w:rPr>
        <w:t>s</w:t>
      </w:r>
      <w:r w:rsidRPr="00621B22">
        <w:rPr>
          <w:rFonts w:asciiTheme="minorHAnsi" w:hAnsiTheme="minorHAnsi"/>
          <w:sz w:val="22"/>
          <w:szCs w:val="22"/>
        </w:rPr>
        <w:t xml:space="preserve">amochodów </w:t>
      </w:r>
    </w:p>
    <w:p w14:paraId="5CB0CD77" w14:textId="77777777" w:rsidR="0027760A" w:rsidRPr="00621B22" w:rsidRDefault="0027760A" w:rsidP="0027760A">
      <w:pPr>
        <w:spacing w:line="360" w:lineRule="auto"/>
        <w:rPr>
          <w:rFonts w:asciiTheme="minorHAnsi" w:hAnsiTheme="minorHAnsi"/>
          <w:sz w:val="22"/>
          <w:szCs w:val="22"/>
        </w:rPr>
      </w:pPr>
      <w:r w:rsidRPr="00621B22">
        <w:rPr>
          <w:rFonts w:asciiTheme="minorHAnsi" w:hAnsiTheme="minorHAnsi"/>
          <w:sz w:val="22"/>
          <w:szCs w:val="22"/>
        </w:rPr>
        <w:t xml:space="preserve">34320000-6 </w:t>
      </w:r>
      <w:r w:rsidRPr="00621B22">
        <w:rPr>
          <w:rFonts w:asciiTheme="minorHAnsi" w:hAnsiTheme="minorHAnsi" w:cstheme="minorHAnsi"/>
          <w:sz w:val="22"/>
          <w:szCs w:val="22"/>
        </w:rPr>
        <w:t xml:space="preserve">– </w:t>
      </w:r>
      <w:r w:rsidRPr="00621B22">
        <w:rPr>
          <w:rFonts w:asciiTheme="minorHAnsi" w:hAnsiTheme="minorHAnsi"/>
          <w:sz w:val="22"/>
          <w:szCs w:val="22"/>
        </w:rPr>
        <w:t>Mechaniczne części zapasowe, z wyłączeniem silników i części silników</w:t>
      </w:r>
    </w:p>
    <w:p w14:paraId="4463A5C5" w14:textId="77777777" w:rsidR="00522930" w:rsidRPr="004D0A8E" w:rsidRDefault="00522930" w:rsidP="00C53375">
      <w:pPr>
        <w:spacing w:line="360" w:lineRule="auto"/>
        <w:rPr>
          <w:rFonts w:asciiTheme="minorHAnsi" w:hAnsiTheme="minorHAnsi" w:cstheme="minorHAnsi"/>
          <w:sz w:val="14"/>
          <w:szCs w:val="14"/>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1BC573C6" w14:textId="77777777" w:rsidR="0027760A" w:rsidRPr="000C24C7" w:rsidRDefault="0027760A" w:rsidP="0027760A">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00F73CBD" w14:textId="77777777" w:rsidR="0027760A" w:rsidRPr="000C24C7" w:rsidRDefault="0027760A" w:rsidP="0027760A">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tbl>
      <w:tblPr>
        <w:tblStyle w:val="Tabela-Siatka"/>
        <w:tblW w:w="0" w:type="auto"/>
        <w:jc w:val="center"/>
        <w:tblLook w:val="04A0" w:firstRow="1" w:lastRow="0" w:firstColumn="1" w:lastColumn="0" w:noHBand="0" w:noVBand="1"/>
      </w:tblPr>
      <w:tblGrid>
        <w:gridCol w:w="534"/>
        <w:gridCol w:w="3605"/>
        <w:gridCol w:w="2976"/>
      </w:tblGrid>
      <w:tr w:rsidR="0027760A" w:rsidRPr="00A66C22" w14:paraId="548271B6" w14:textId="77777777" w:rsidTr="00740ECF">
        <w:trPr>
          <w:jc w:val="center"/>
        </w:trPr>
        <w:tc>
          <w:tcPr>
            <w:tcW w:w="5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E1CEEA" w14:textId="77777777" w:rsidR="0027760A" w:rsidRPr="00A66C22" w:rsidRDefault="0027760A" w:rsidP="0027760A">
            <w:pPr>
              <w:pStyle w:val="NormalnyWeb"/>
              <w:spacing w:line="360" w:lineRule="auto"/>
              <w:rPr>
                <w:rFonts w:asciiTheme="minorHAnsi" w:hAnsiTheme="minorHAnsi"/>
                <w:b/>
                <w:sz w:val="22"/>
                <w:szCs w:val="22"/>
              </w:rPr>
            </w:pPr>
          </w:p>
        </w:tc>
        <w:tc>
          <w:tcPr>
            <w:tcW w:w="360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CCBBFF4" w14:textId="77777777" w:rsidR="0027760A" w:rsidRPr="00A66C22" w:rsidRDefault="0027760A" w:rsidP="0027760A">
            <w:pPr>
              <w:pStyle w:val="NormalnyWeb"/>
              <w:spacing w:line="360" w:lineRule="auto"/>
              <w:rPr>
                <w:rFonts w:asciiTheme="minorHAnsi" w:hAnsiTheme="minorHAnsi"/>
                <w:b/>
                <w:sz w:val="22"/>
                <w:szCs w:val="22"/>
              </w:rPr>
            </w:pPr>
            <w:r w:rsidRPr="00A66C22">
              <w:rPr>
                <w:rFonts w:asciiTheme="minorHAnsi" w:hAnsiTheme="minorHAnsi"/>
                <w:b/>
                <w:sz w:val="22"/>
                <w:szCs w:val="22"/>
              </w:rPr>
              <w:t>Nazwa kryterium</w:t>
            </w:r>
          </w:p>
        </w:tc>
        <w:tc>
          <w:tcPr>
            <w:tcW w:w="29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F8FA38F" w14:textId="77777777" w:rsidR="0027760A" w:rsidRPr="00A66C22" w:rsidRDefault="0027760A" w:rsidP="0027760A">
            <w:pPr>
              <w:pStyle w:val="NormalnyWeb"/>
              <w:spacing w:line="360" w:lineRule="auto"/>
              <w:rPr>
                <w:rFonts w:asciiTheme="minorHAnsi" w:hAnsiTheme="minorHAnsi"/>
                <w:b/>
                <w:sz w:val="22"/>
                <w:szCs w:val="22"/>
              </w:rPr>
            </w:pPr>
            <w:r w:rsidRPr="00A66C22">
              <w:rPr>
                <w:rFonts w:asciiTheme="minorHAnsi" w:hAnsiTheme="minorHAnsi"/>
                <w:b/>
                <w:sz w:val="22"/>
                <w:szCs w:val="22"/>
              </w:rPr>
              <w:t>Wartość punktowa wagi w %</w:t>
            </w:r>
          </w:p>
        </w:tc>
      </w:tr>
      <w:tr w:rsidR="0027760A" w:rsidRPr="00A66C22" w14:paraId="0B2471D4" w14:textId="77777777" w:rsidTr="00740ECF">
        <w:trPr>
          <w:jc w:val="center"/>
        </w:trPr>
        <w:tc>
          <w:tcPr>
            <w:tcW w:w="534" w:type="dxa"/>
            <w:tcBorders>
              <w:top w:val="single" w:sz="4" w:space="0" w:color="auto"/>
              <w:left w:val="single" w:sz="4" w:space="0" w:color="auto"/>
              <w:bottom w:val="single" w:sz="4" w:space="0" w:color="auto"/>
              <w:right w:val="single" w:sz="4" w:space="0" w:color="auto"/>
            </w:tcBorders>
            <w:hideMark/>
          </w:tcPr>
          <w:p w14:paraId="2B5143A9" w14:textId="77777777" w:rsidR="0027760A" w:rsidRPr="00A66C22" w:rsidRDefault="0027760A" w:rsidP="0027760A">
            <w:pPr>
              <w:pStyle w:val="NormalnyWeb"/>
              <w:spacing w:line="360" w:lineRule="auto"/>
              <w:jc w:val="center"/>
              <w:rPr>
                <w:rFonts w:asciiTheme="minorHAnsi" w:hAnsiTheme="minorHAnsi"/>
                <w:b/>
                <w:sz w:val="22"/>
                <w:szCs w:val="22"/>
              </w:rPr>
            </w:pPr>
            <w:r w:rsidRPr="00A66C22">
              <w:rPr>
                <w:rFonts w:asciiTheme="minorHAnsi" w:hAnsiTheme="minorHAnsi"/>
                <w:b/>
                <w:sz w:val="22"/>
                <w:szCs w:val="22"/>
              </w:rPr>
              <w:t>P1</w:t>
            </w:r>
          </w:p>
        </w:tc>
        <w:tc>
          <w:tcPr>
            <w:tcW w:w="3605" w:type="dxa"/>
            <w:tcBorders>
              <w:top w:val="single" w:sz="4" w:space="0" w:color="auto"/>
              <w:left w:val="single" w:sz="4" w:space="0" w:color="auto"/>
              <w:bottom w:val="single" w:sz="4" w:space="0" w:color="auto"/>
              <w:right w:val="single" w:sz="4" w:space="0" w:color="auto"/>
            </w:tcBorders>
            <w:hideMark/>
          </w:tcPr>
          <w:p w14:paraId="679D7D7D" w14:textId="77777777" w:rsidR="0027760A" w:rsidRPr="00A66C22" w:rsidRDefault="0027760A" w:rsidP="0027760A">
            <w:pPr>
              <w:pStyle w:val="NormalnyWeb"/>
              <w:spacing w:line="360" w:lineRule="auto"/>
              <w:rPr>
                <w:rFonts w:asciiTheme="minorHAnsi" w:hAnsiTheme="minorHAnsi"/>
                <w:sz w:val="22"/>
                <w:szCs w:val="22"/>
              </w:rPr>
            </w:pPr>
            <w:r w:rsidRPr="00A66C22">
              <w:rPr>
                <w:rFonts w:asciiTheme="minorHAnsi" w:hAnsiTheme="minorHAnsi"/>
                <w:sz w:val="22"/>
                <w:szCs w:val="22"/>
              </w:rPr>
              <w:t>Cena</w:t>
            </w:r>
          </w:p>
        </w:tc>
        <w:tc>
          <w:tcPr>
            <w:tcW w:w="2976" w:type="dxa"/>
            <w:tcBorders>
              <w:top w:val="single" w:sz="4" w:space="0" w:color="auto"/>
              <w:left w:val="single" w:sz="4" w:space="0" w:color="auto"/>
              <w:bottom w:val="single" w:sz="4" w:space="0" w:color="auto"/>
              <w:right w:val="single" w:sz="4" w:space="0" w:color="auto"/>
            </w:tcBorders>
            <w:hideMark/>
          </w:tcPr>
          <w:p w14:paraId="1FE40F1C" w14:textId="77777777" w:rsidR="0027760A" w:rsidRPr="00A66C22" w:rsidRDefault="0027760A" w:rsidP="0027760A">
            <w:pPr>
              <w:pStyle w:val="NormalnyWeb"/>
              <w:spacing w:line="360" w:lineRule="auto"/>
              <w:jc w:val="center"/>
              <w:rPr>
                <w:rFonts w:asciiTheme="minorHAnsi" w:hAnsiTheme="minorHAnsi"/>
                <w:b/>
                <w:color w:val="0000FF"/>
                <w:sz w:val="22"/>
                <w:szCs w:val="22"/>
              </w:rPr>
            </w:pPr>
            <w:r w:rsidRPr="00A66C22">
              <w:rPr>
                <w:rFonts w:asciiTheme="minorHAnsi" w:hAnsiTheme="minorHAnsi"/>
                <w:b/>
                <w:color w:val="0000FF"/>
                <w:sz w:val="22"/>
                <w:szCs w:val="22"/>
              </w:rPr>
              <w:t>80 %</w:t>
            </w:r>
          </w:p>
        </w:tc>
      </w:tr>
      <w:tr w:rsidR="0027760A" w:rsidRPr="00A66C22" w14:paraId="03862435" w14:textId="77777777" w:rsidTr="00740ECF">
        <w:trPr>
          <w:jc w:val="center"/>
        </w:trPr>
        <w:tc>
          <w:tcPr>
            <w:tcW w:w="534" w:type="dxa"/>
            <w:tcBorders>
              <w:top w:val="single" w:sz="4" w:space="0" w:color="auto"/>
              <w:left w:val="single" w:sz="4" w:space="0" w:color="auto"/>
              <w:bottom w:val="single" w:sz="4" w:space="0" w:color="auto"/>
              <w:right w:val="single" w:sz="4" w:space="0" w:color="auto"/>
            </w:tcBorders>
            <w:hideMark/>
          </w:tcPr>
          <w:p w14:paraId="102F7E87" w14:textId="77777777" w:rsidR="0027760A" w:rsidRPr="00A66C22" w:rsidRDefault="0027760A" w:rsidP="0027760A">
            <w:pPr>
              <w:pStyle w:val="NormalnyWeb"/>
              <w:spacing w:line="360" w:lineRule="auto"/>
              <w:jc w:val="center"/>
              <w:rPr>
                <w:rFonts w:asciiTheme="minorHAnsi" w:hAnsiTheme="minorHAnsi"/>
                <w:b/>
                <w:sz w:val="22"/>
                <w:szCs w:val="22"/>
              </w:rPr>
            </w:pPr>
            <w:r w:rsidRPr="00A66C22">
              <w:rPr>
                <w:rFonts w:asciiTheme="minorHAnsi" w:hAnsiTheme="minorHAnsi"/>
                <w:b/>
                <w:sz w:val="22"/>
                <w:szCs w:val="22"/>
              </w:rPr>
              <w:t>P2</w:t>
            </w:r>
          </w:p>
        </w:tc>
        <w:tc>
          <w:tcPr>
            <w:tcW w:w="3605" w:type="dxa"/>
            <w:tcBorders>
              <w:top w:val="single" w:sz="4" w:space="0" w:color="auto"/>
              <w:left w:val="single" w:sz="4" w:space="0" w:color="auto"/>
              <w:bottom w:val="single" w:sz="4" w:space="0" w:color="auto"/>
              <w:right w:val="single" w:sz="4" w:space="0" w:color="auto"/>
            </w:tcBorders>
            <w:hideMark/>
          </w:tcPr>
          <w:p w14:paraId="0915B07A" w14:textId="77777777" w:rsidR="0027760A" w:rsidRPr="00A66C22" w:rsidRDefault="0027760A" w:rsidP="0027760A">
            <w:pPr>
              <w:pStyle w:val="NormalnyWeb"/>
              <w:spacing w:line="360" w:lineRule="auto"/>
              <w:rPr>
                <w:rFonts w:asciiTheme="minorHAnsi" w:hAnsiTheme="minorHAnsi"/>
                <w:sz w:val="22"/>
                <w:szCs w:val="22"/>
              </w:rPr>
            </w:pPr>
            <w:r w:rsidRPr="00A66C22">
              <w:rPr>
                <w:rFonts w:asciiTheme="minorHAnsi" w:hAnsiTheme="minorHAnsi"/>
                <w:sz w:val="22"/>
                <w:szCs w:val="22"/>
              </w:rPr>
              <w:t>Czas dostawy zamówionego towaru</w:t>
            </w:r>
          </w:p>
        </w:tc>
        <w:tc>
          <w:tcPr>
            <w:tcW w:w="2976" w:type="dxa"/>
            <w:tcBorders>
              <w:top w:val="single" w:sz="4" w:space="0" w:color="auto"/>
              <w:left w:val="single" w:sz="4" w:space="0" w:color="auto"/>
              <w:bottom w:val="single" w:sz="4" w:space="0" w:color="auto"/>
              <w:right w:val="single" w:sz="4" w:space="0" w:color="auto"/>
            </w:tcBorders>
            <w:hideMark/>
          </w:tcPr>
          <w:p w14:paraId="201FEAF9" w14:textId="77777777" w:rsidR="0027760A" w:rsidRPr="00A66C22" w:rsidRDefault="0027760A" w:rsidP="0027760A">
            <w:pPr>
              <w:pStyle w:val="NormalnyWeb"/>
              <w:spacing w:line="360" w:lineRule="auto"/>
              <w:jc w:val="center"/>
              <w:rPr>
                <w:rFonts w:asciiTheme="minorHAnsi" w:hAnsiTheme="minorHAnsi"/>
                <w:b/>
                <w:color w:val="0000FF"/>
                <w:sz w:val="22"/>
                <w:szCs w:val="22"/>
              </w:rPr>
            </w:pPr>
            <w:r w:rsidRPr="00A66C22">
              <w:rPr>
                <w:rFonts w:asciiTheme="minorHAnsi" w:hAnsiTheme="minorHAnsi"/>
                <w:b/>
                <w:color w:val="0000FF"/>
                <w:sz w:val="22"/>
                <w:szCs w:val="22"/>
              </w:rPr>
              <w:t>20 %</w:t>
            </w:r>
          </w:p>
        </w:tc>
      </w:tr>
    </w:tbl>
    <w:p w14:paraId="4C27BF3F" w14:textId="77777777" w:rsidR="0027760A" w:rsidRPr="00A66C22" w:rsidRDefault="0027760A" w:rsidP="0027760A">
      <w:pPr>
        <w:pStyle w:val="NormalnyWeb"/>
        <w:spacing w:line="360" w:lineRule="auto"/>
        <w:jc w:val="both"/>
        <w:rPr>
          <w:rFonts w:asciiTheme="minorHAnsi" w:hAnsiTheme="minorHAnsi"/>
          <w:sz w:val="22"/>
          <w:szCs w:val="22"/>
        </w:rPr>
      </w:pPr>
    </w:p>
    <w:p w14:paraId="2BE0C45B" w14:textId="77777777" w:rsidR="0027760A" w:rsidRPr="00A66C22" w:rsidRDefault="0027760A" w:rsidP="0027760A">
      <w:pPr>
        <w:pStyle w:val="NormalnyWeb"/>
        <w:spacing w:line="360" w:lineRule="auto"/>
        <w:jc w:val="both"/>
        <w:rPr>
          <w:rFonts w:asciiTheme="minorHAnsi" w:hAnsiTheme="minorHAnsi"/>
          <w:sz w:val="22"/>
          <w:szCs w:val="22"/>
        </w:rPr>
      </w:pPr>
      <w:r w:rsidRPr="00A66C22">
        <w:rPr>
          <w:rFonts w:asciiTheme="minorHAnsi" w:hAnsiTheme="minorHAnsi"/>
          <w:b/>
          <w:bCs/>
          <w:sz w:val="22"/>
          <w:szCs w:val="22"/>
        </w:rPr>
        <w:lastRenderedPageBreak/>
        <w:t xml:space="preserve">P1 = </w:t>
      </w:r>
      <w:r w:rsidRPr="00A66C22">
        <w:rPr>
          <w:rFonts w:asciiTheme="minorHAnsi" w:hAnsiTheme="minorHAnsi"/>
          <w:b/>
          <w:bCs/>
          <w:color w:val="FF0000"/>
          <w:sz w:val="22"/>
          <w:szCs w:val="22"/>
        </w:rPr>
        <w:t>max. 80 pkt:</w:t>
      </w:r>
      <w:r w:rsidRPr="00A66C22">
        <w:rPr>
          <w:rFonts w:asciiTheme="minorHAnsi" w:hAnsiTheme="minorHAnsi"/>
          <w:color w:val="FF0000"/>
          <w:sz w:val="22"/>
          <w:szCs w:val="22"/>
        </w:rPr>
        <w:t xml:space="preserve"> </w:t>
      </w:r>
      <w:r w:rsidRPr="00A66C22">
        <w:rPr>
          <w:rFonts w:asciiTheme="minorHAnsi" w:hAnsiTheme="minorHAnsi"/>
          <w:sz w:val="22"/>
          <w:szCs w:val="22"/>
        </w:rPr>
        <w:t>Za podstawę obliczeń przyjęta zostanie cena brutto za zrealizowanie całości zamówienia podana w formularzu oferty. Do określenia liczby punktów uzyskanej przez Wykonawcę za kryterium „Cena brutto oferty” wykorzystany zostanie wzór:</w:t>
      </w:r>
    </w:p>
    <w:p w14:paraId="68D9A32F" w14:textId="77777777" w:rsidR="0027760A" w:rsidRPr="00A66C22" w:rsidRDefault="0027760A" w:rsidP="0027760A">
      <w:pPr>
        <w:pStyle w:val="NormalnyWeb"/>
        <w:spacing w:line="360" w:lineRule="auto"/>
        <w:jc w:val="center"/>
        <w:rPr>
          <w:rFonts w:asciiTheme="minorHAnsi" w:hAnsiTheme="minorHAnsi"/>
          <w:sz w:val="22"/>
          <w:szCs w:val="22"/>
        </w:rPr>
      </w:pPr>
      <w:proofErr w:type="spellStart"/>
      <w:r w:rsidRPr="00A66C22">
        <w:rPr>
          <w:rFonts w:asciiTheme="minorHAnsi" w:hAnsiTheme="minorHAnsi"/>
          <w:sz w:val="22"/>
          <w:szCs w:val="22"/>
        </w:rPr>
        <w:t>C</w:t>
      </w:r>
      <w:r w:rsidRPr="00A66C22">
        <w:rPr>
          <w:rFonts w:asciiTheme="minorHAnsi" w:hAnsiTheme="minorHAnsi"/>
          <w:sz w:val="22"/>
          <w:szCs w:val="22"/>
          <w:vertAlign w:val="subscript"/>
        </w:rPr>
        <w:t>min</w:t>
      </w:r>
      <w:proofErr w:type="spellEnd"/>
    </w:p>
    <w:p w14:paraId="005630E6" w14:textId="77777777" w:rsidR="0027760A" w:rsidRPr="00A66C22" w:rsidRDefault="0027760A" w:rsidP="0027760A">
      <w:pPr>
        <w:pStyle w:val="NormalnyWeb"/>
        <w:spacing w:line="360" w:lineRule="auto"/>
        <w:jc w:val="center"/>
        <w:rPr>
          <w:rFonts w:asciiTheme="minorHAnsi" w:hAnsiTheme="minorHAnsi"/>
          <w:sz w:val="22"/>
          <w:szCs w:val="22"/>
        </w:rPr>
      </w:pPr>
      <w:r w:rsidRPr="00A66C22">
        <w:rPr>
          <w:rFonts w:asciiTheme="minorHAnsi" w:hAnsiTheme="minorHAnsi"/>
          <w:sz w:val="22"/>
          <w:szCs w:val="22"/>
        </w:rPr>
        <w:t>P1 = ------------------ x 80</w:t>
      </w:r>
    </w:p>
    <w:p w14:paraId="059E8D79" w14:textId="77777777" w:rsidR="0027760A" w:rsidRPr="00A66C22" w:rsidRDefault="0027760A" w:rsidP="0027760A">
      <w:pPr>
        <w:pStyle w:val="NormalnyWeb"/>
        <w:spacing w:line="360" w:lineRule="auto"/>
        <w:jc w:val="center"/>
        <w:rPr>
          <w:rFonts w:asciiTheme="minorHAnsi" w:hAnsiTheme="minorHAnsi"/>
          <w:sz w:val="22"/>
          <w:szCs w:val="22"/>
        </w:rPr>
      </w:pPr>
      <w:proofErr w:type="spellStart"/>
      <w:r w:rsidRPr="00A66C22">
        <w:rPr>
          <w:rFonts w:asciiTheme="minorHAnsi" w:hAnsiTheme="minorHAnsi"/>
          <w:sz w:val="22"/>
          <w:szCs w:val="22"/>
        </w:rPr>
        <w:t>C</w:t>
      </w:r>
      <w:r w:rsidRPr="00A66C22">
        <w:rPr>
          <w:rFonts w:asciiTheme="minorHAnsi" w:hAnsiTheme="minorHAnsi"/>
          <w:sz w:val="22"/>
          <w:szCs w:val="22"/>
          <w:vertAlign w:val="subscript"/>
        </w:rPr>
        <w:t>of</w:t>
      </w:r>
      <w:proofErr w:type="spellEnd"/>
    </w:p>
    <w:p w14:paraId="33005E51" w14:textId="77777777" w:rsidR="0027760A" w:rsidRPr="00A66C22" w:rsidRDefault="0027760A" w:rsidP="0027760A">
      <w:pPr>
        <w:pStyle w:val="NormalnyWeb"/>
        <w:spacing w:line="360" w:lineRule="auto"/>
        <w:jc w:val="both"/>
        <w:rPr>
          <w:rFonts w:asciiTheme="minorHAnsi" w:hAnsiTheme="minorHAnsi"/>
          <w:sz w:val="22"/>
          <w:szCs w:val="22"/>
        </w:rPr>
      </w:pPr>
      <w:bookmarkStart w:id="0" w:name="_GoBack"/>
      <w:bookmarkEnd w:id="0"/>
      <w:r w:rsidRPr="00A66C22">
        <w:rPr>
          <w:rFonts w:asciiTheme="minorHAnsi" w:hAnsiTheme="minorHAnsi"/>
          <w:sz w:val="22"/>
          <w:szCs w:val="22"/>
        </w:rPr>
        <w:t>gdzie:</w:t>
      </w:r>
    </w:p>
    <w:p w14:paraId="302F2B3F" w14:textId="77777777" w:rsidR="0027760A" w:rsidRPr="00A66C22" w:rsidRDefault="0027760A" w:rsidP="0027760A">
      <w:pPr>
        <w:pStyle w:val="NormalnyWeb"/>
        <w:spacing w:line="360" w:lineRule="auto"/>
        <w:jc w:val="both"/>
        <w:rPr>
          <w:rFonts w:asciiTheme="minorHAnsi" w:hAnsiTheme="minorHAnsi"/>
          <w:sz w:val="22"/>
          <w:szCs w:val="22"/>
        </w:rPr>
      </w:pPr>
      <w:r w:rsidRPr="00A66C22">
        <w:rPr>
          <w:rFonts w:asciiTheme="minorHAnsi" w:hAnsiTheme="minorHAnsi"/>
          <w:sz w:val="22"/>
          <w:szCs w:val="22"/>
        </w:rPr>
        <w:t>P1: liczba punktów przyznana ofercie badanej za kryterium,</w:t>
      </w:r>
    </w:p>
    <w:p w14:paraId="1C9ADB9B" w14:textId="77777777" w:rsidR="0027760A" w:rsidRPr="00A66C22" w:rsidRDefault="0027760A" w:rsidP="0027760A">
      <w:pPr>
        <w:pStyle w:val="NormalnyWeb"/>
        <w:spacing w:line="360" w:lineRule="auto"/>
        <w:jc w:val="both"/>
        <w:rPr>
          <w:rFonts w:asciiTheme="minorHAnsi" w:hAnsiTheme="minorHAnsi"/>
          <w:sz w:val="22"/>
          <w:szCs w:val="22"/>
        </w:rPr>
      </w:pPr>
      <w:proofErr w:type="spellStart"/>
      <w:r w:rsidRPr="00A66C22">
        <w:rPr>
          <w:rFonts w:asciiTheme="minorHAnsi" w:hAnsiTheme="minorHAnsi"/>
          <w:sz w:val="22"/>
          <w:szCs w:val="22"/>
        </w:rPr>
        <w:t>C</w:t>
      </w:r>
      <w:r w:rsidRPr="00A66C22">
        <w:rPr>
          <w:rFonts w:asciiTheme="minorHAnsi" w:hAnsiTheme="minorHAnsi"/>
          <w:sz w:val="22"/>
          <w:szCs w:val="22"/>
          <w:vertAlign w:val="subscript"/>
        </w:rPr>
        <w:t>min</w:t>
      </w:r>
      <w:proofErr w:type="spellEnd"/>
      <w:r w:rsidRPr="00A66C22">
        <w:rPr>
          <w:rFonts w:asciiTheme="minorHAnsi" w:hAnsiTheme="minorHAnsi"/>
          <w:sz w:val="22"/>
          <w:szCs w:val="22"/>
        </w:rPr>
        <w:t>: najniższa oferowana cena brutto spośród ofert nie podlegających odrzuceniu,</w:t>
      </w:r>
    </w:p>
    <w:p w14:paraId="7BE77E9E" w14:textId="77777777" w:rsidR="0027760A" w:rsidRPr="00A66C22" w:rsidRDefault="0027760A" w:rsidP="0027760A">
      <w:pPr>
        <w:pStyle w:val="NormalnyWeb"/>
        <w:spacing w:line="360" w:lineRule="auto"/>
        <w:jc w:val="both"/>
        <w:rPr>
          <w:rFonts w:asciiTheme="minorHAnsi" w:hAnsiTheme="minorHAnsi"/>
          <w:sz w:val="22"/>
          <w:szCs w:val="22"/>
        </w:rPr>
      </w:pPr>
      <w:proofErr w:type="spellStart"/>
      <w:r w:rsidRPr="00A66C22">
        <w:rPr>
          <w:rFonts w:asciiTheme="minorHAnsi" w:hAnsiTheme="minorHAnsi"/>
          <w:sz w:val="22"/>
          <w:szCs w:val="22"/>
        </w:rPr>
        <w:t>C</w:t>
      </w:r>
      <w:r w:rsidRPr="00A66C22">
        <w:rPr>
          <w:rFonts w:asciiTheme="minorHAnsi" w:hAnsiTheme="minorHAnsi"/>
          <w:sz w:val="22"/>
          <w:szCs w:val="22"/>
          <w:vertAlign w:val="subscript"/>
        </w:rPr>
        <w:t>of</w:t>
      </w:r>
      <w:proofErr w:type="spellEnd"/>
      <w:r w:rsidRPr="00A66C22">
        <w:rPr>
          <w:rFonts w:asciiTheme="minorHAnsi" w:hAnsiTheme="minorHAnsi"/>
          <w:sz w:val="22"/>
          <w:szCs w:val="22"/>
        </w:rPr>
        <w:t>: cena brutto oferty badanej,</w:t>
      </w:r>
    </w:p>
    <w:p w14:paraId="7AF16985" w14:textId="77777777" w:rsidR="0027760A" w:rsidRPr="00A66C22" w:rsidRDefault="0027760A" w:rsidP="0027760A">
      <w:pPr>
        <w:pStyle w:val="NormalnyWeb"/>
        <w:spacing w:line="360" w:lineRule="auto"/>
        <w:jc w:val="both"/>
        <w:rPr>
          <w:rFonts w:asciiTheme="minorHAnsi" w:hAnsiTheme="minorHAnsi"/>
          <w:sz w:val="22"/>
          <w:szCs w:val="22"/>
        </w:rPr>
      </w:pPr>
      <w:r w:rsidRPr="00A66C22">
        <w:rPr>
          <w:rFonts w:asciiTheme="minorHAnsi" w:hAnsiTheme="minorHAnsi"/>
          <w:sz w:val="22"/>
          <w:szCs w:val="22"/>
        </w:rPr>
        <w:t>80: waga punktowa przyznana kryterium.</w:t>
      </w:r>
    </w:p>
    <w:p w14:paraId="1A6A0E20" w14:textId="77777777" w:rsidR="0027760A" w:rsidRPr="00A66C22" w:rsidRDefault="0027760A" w:rsidP="0027760A">
      <w:pPr>
        <w:pStyle w:val="NormalnyWeb"/>
        <w:spacing w:line="360" w:lineRule="auto"/>
        <w:jc w:val="both"/>
        <w:rPr>
          <w:rFonts w:asciiTheme="minorHAnsi" w:hAnsiTheme="minorHAnsi"/>
          <w:sz w:val="22"/>
          <w:szCs w:val="22"/>
        </w:rPr>
      </w:pPr>
    </w:p>
    <w:p w14:paraId="71ACB05F" w14:textId="77777777" w:rsidR="0027760A" w:rsidRPr="00A66C22" w:rsidRDefault="0027760A" w:rsidP="0027760A">
      <w:pPr>
        <w:pStyle w:val="NormalnyWeb"/>
        <w:spacing w:line="360" w:lineRule="auto"/>
        <w:jc w:val="both"/>
        <w:rPr>
          <w:rFonts w:asciiTheme="minorHAnsi" w:hAnsiTheme="minorHAnsi"/>
          <w:sz w:val="22"/>
          <w:szCs w:val="22"/>
        </w:rPr>
      </w:pPr>
      <w:r w:rsidRPr="00A66C22">
        <w:rPr>
          <w:rFonts w:asciiTheme="minorHAnsi" w:hAnsiTheme="minorHAnsi"/>
          <w:b/>
          <w:bCs/>
          <w:sz w:val="22"/>
          <w:szCs w:val="22"/>
        </w:rPr>
        <w:t xml:space="preserve">P2= </w:t>
      </w:r>
      <w:r w:rsidRPr="00A66C22">
        <w:rPr>
          <w:rFonts w:asciiTheme="minorHAnsi" w:hAnsiTheme="minorHAnsi"/>
          <w:b/>
          <w:bCs/>
          <w:color w:val="FF0000"/>
          <w:sz w:val="22"/>
          <w:szCs w:val="22"/>
        </w:rPr>
        <w:t>max. 20 pkt</w:t>
      </w:r>
      <w:r w:rsidRPr="00A66C22">
        <w:rPr>
          <w:rFonts w:asciiTheme="minorHAnsi" w:hAnsiTheme="minorHAnsi"/>
          <w:b/>
          <w:bCs/>
          <w:sz w:val="22"/>
          <w:szCs w:val="22"/>
        </w:rPr>
        <w:t>.:</w:t>
      </w:r>
      <w:r w:rsidRPr="00A66C22">
        <w:rPr>
          <w:rFonts w:asciiTheme="minorHAnsi" w:hAnsiTheme="minorHAnsi"/>
          <w:sz w:val="22"/>
          <w:szCs w:val="22"/>
        </w:rPr>
        <w:t xml:space="preserve"> Przy obliczaniu liczby punktów w kryterium: </w:t>
      </w:r>
      <w:r w:rsidRPr="00A66C22">
        <w:rPr>
          <w:rFonts w:asciiTheme="minorHAnsi" w:hAnsiTheme="minorHAnsi"/>
          <w:i/>
          <w:iCs/>
          <w:sz w:val="22"/>
          <w:szCs w:val="22"/>
        </w:rPr>
        <w:t xml:space="preserve">czas dostawy zamówionego towaru w godzinach od momentu złożenia </w:t>
      </w:r>
      <w:r w:rsidRPr="00A66C22">
        <w:rPr>
          <w:rFonts w:asciiTheme="minorHAnsi" w:hAnsiTheme="minorHAnsi"/>
          <w:sz w:val="22"/>
          <w:szCs w:val="22"/>
        </w:rPr>
        <w:t>Zamawiający zastosuje następujące wyliczenie:</w:t>
      </w:r>
    </w:p>
    <w:p w14:paraId="08F7290C" w14:textId="77777777" w:rsidR="0027760A" w:rsidRPr="00A66C22" w:rsidRDefault="0027760A" w:rsidP="0027760A">
      <w:pPr>
        <w:pStyle w:val="NormalnyWeb"/>
        <w:spacing w:line="360" w:lineRule="auto"/>
        <w:jc w:val="both"/>
        <w:rPr>
          <w:rFonts w:asciiTheme="minorHAnsi" w:hAnsiTheme="minorHAnsi"/>
          <w:sz w:val="22"/>
          <w:szCs w:val="22"/>
        </w:rPr>
      </w:pPr>
    </w:p>
    <w:tbl>
      <w:tblPr>
        <w:tblStyle w:val="Tabela-Siatka"/>
        <w:tblW w:w="0" w:type="auto"/>
        <w:jc w:val="center"/>
        <w:tblLook w:val="04A0" w:firstRow="1" w:lastRow="0" w:firstColumn="1" w:lastColumn="0" w:noHBand="0" w:noVBand="1"/>
      </w:tblPr>
      <w:tblGrid>
        <w:gridCol w:w="959"/>
        <w:gridCol w:w="7087"/>
      </w:tblGrid>
      <w:tr w:rsidR="0027760A" w:rsidRPr="00A66C22" w14:paraId="47B68D05" w14:textId="77777777" w:rsidTr="00740ECF">
        <w:trPr>
          <w:trHeight w:val="260"/>
          <w:jc w:val="center"/>
        </w:trPr>
        <w:tc>
          <w:tcPr>
            <w:tcW w:w="95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CEE60A4" w14:textId="77777777" w:rsidR="0027760A" w:rsidRPr="00A66C22" w:rsidRDefault="0027760A" w:rsidP="0027760A">
            <w:pPr>
              <w:pStyle w:val="NormalnyWeb"/>
              <w:spacing w:line="360" w:lineRule="auto"/>
              <w:jc w:val="center"/>
              <w:rPr>
                <w:rFonts w:asciiTheme="minorHAnsi" w:hAnsiTheme="minorHAnsi"/>
                <w:sz w:val="22"/>
                <w:szCs w:val="22"/>
              </w:rPr>
            </w:pPr>
            <w:r w:rsidRPr="00A66C22">
              <w:rPr>
                <w:rFonts w:asciiTheme="minorHAnsi" w:hAnsiTheme="minorHAnsi"/>
                <w:b/>
                <w:sz w:val="22"/>
                <w:szCs w:val="22"/>
              </w:rPr>
              <w:t>20 pkt.</w:t>
            </w:r>
          </w:p>
        </w:tc>
        <w:tc>
          <w:tcPr>
            <w:tcW w:w="7087" w:type="dxa"/>
            <w:tcBorders>
              <w:top w:val="single" w:sz="4" w:space="0" w:color="auto"/>
              <w:left w:val="single" w:sz="4" w:space="0" w:color="auto"/>
              <w:bottom w:val="single" w:sz="4" w:space="0" w:color="auto"/>
              <w:right w:val="single" w:sz="4" w:space="0" w:color="auto"/>
            </w:tcBorders>
            <w:hideMark/>
          </w:tcPr>
          <w:p w14:paraId="2FFE3EA8" w14:textId="77777777" w:rsidR="0027760A" w:rsidRPr="00A66C22" w:rsidRDefault="0027760A" w:rsidP="0027760A">
            <w:pPr>
              <w:pStyle w:val="NormalnyWeb"/>
              <w:spacing w:line="360" w:lineRule="auto"/>
              <w:jc w:val="both"/>
              <w:rPr>
                <w:rFonts w:asciiTheme="minorHAnsi" w:hAnsiTheme="minorHAnsi"/>
                <w:sz w:val="22"/>
                <w:szCs w:val="22"/>
              </w:rPr>
            </w:pPr>
            <w:r w:rsidRPr="00A66C22">
              <w:rPr>
                <w:rFonts w:asciiTheme="minorHAnsi" w:hAnsiTheme="minorHAnsi"/>
                <w:b/>
                <w:sz w:val="22"/>
                <w:szCs w:val="22"/>
              </w:rPr>
              <w:t>do 2 godzin</w:t>
            </w:r>
            <w:r w:rsidRPr="00A66C22">
              <w:rPr>
                <w:rFonts w:asciiTheme="minorHAnsi" w:hAnsiTheme="minorHAnsi"/>
                <w:sz w:val="22"/>
                <w:szCs w:val="22"/>
              </w:rPr>
              <w:t xml:space="preserve"> od momentu złożenia zamówienia</w:t>
            </w:r>
          </w:p>
        </w:tc>
      </w:tr>
      <w:tr w:rsidR="0027760A" w:rsidRPr="00A66C22" w14:paraId="7131D45C" w14:textId="77777777" w:rsidTr="00740ECF">
        <w:trPr>
          <w:trHeight w:val="270"/>
          <w:jc w:val="center"/>
        </w:trPr>
        <w:tc>
          <w:tcPr>
            <w:tcW w:w="95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14CD86D" w14:textId="77777777" w:rsidR="0027760A" w:rsidRPr="00A66C22" w:rsidRDefault="0027760A" w:rsidP="0027760A">
            <w:pPr>
              <w:pStyle w:val="NormalnyWeb"/>
              <w:spacing w:line="360" w:lineRule="auto"/>
              <w:jc w:val="center"/>
              <w:rPr>
                <w:rFonts w:asciiTheme="minorHAnsi" w:hAnsiTheme="minorHAnsi"/>
                <w:b/>
                <w:sz w:val="22"/>
                <w:szCs w:val="22"/>
              </w:rPr>
            </w:pPr>
            <w:r w:rsidRPr="00A66C22">
              <w:rPr>
                <w:rFonts w:asciiTheme="minorHAnsi" w:hAnsiTheme="minorHAnsi"/>
                <w:b/>
                <w:sz w:val="22"/>
                <w:szCs w:val="22"/>
              </w:rPr>
              <w:t>5 pkt.</w:t>
            </w:r>
          </w:p>
        </w:tc>
        <w:tc>
          <w:tcPr>
            <w:tcW w:w="7087" w:type="dxa"/>
            <w:tcBorders>
              <w:top w:val="single" w:sz="4" w:space="0" w:color="auto"/>
              <w:left w:val="single" w:sz="4" w:space="0" w:color="auto"/>
              <w:bottom w:val="single" w:sz="4" w:space="0" w:color="auto"/>
              <w:right w:val="single" w:sz="4" w:space="0" w:color="auto"/>
            </w:tcBorders>
            <w:hideMark/>
          </w:tcPr>
          <w:p w14:paraId="3C179EBF" w14:textId="77777777" w:rsidR="0027760A" w:rsidRPr="00A66C22" w:rsidRDefault="0027760A" w:rsidP="0027760A">
            <w:pPr>
              <w:pStyle w:val="NormalnyWeb"/>
              <w:spacing w:line="360" w:lineRule="auto"/>
              <w:jc w:val="both"/>
              <w:rPr>
                <w:rFonts w:asciiTheme="minorHAnsi" w:hAnsiTheme="minorHAnsi"/>
                <w:b/>
                <w:sz w:val="22"/>
                <w:szCs w:val="22"/>
              </w:rPr>
            </w:pPr>
            <w:r w:rsidRPr="00A66C22">
              <w:rPr>
                <w:rFonts w:asciiTheme="minorHAnsi" w:hAnsiTheme="minorHAnsi"/>
                <w:b/>
                <w:sz w:val="22"/>
                <w:szCs w:val="22"/>
              </w:rPr>
              <w:t>powyżej 2 godzin do 24 godzin</w:t>
            </w:r>
            <w:r w:rsidRPr="00A66C22">
              <w:rPr>
                <w:rFonts w:asciiTheme="minorHAnsi" w:hAnsiTheme="minorHAnsi"/>
                <w:sz w:val="22"/>
                <w:szCs w:val="22"/>
              </w:rPr>
              <w:t xml:space="preserve"> od momentu złożenia zamówienia</w:t>
            </w:r>
          </w:p>
        </w:tc>
      </w:tr>
      <w:tr w:rsidR="0027760A" w:rsidRPr="00A66C22" w14:paraId="59235A34" w14:textId="77777777" w:rsidTr="00740ECF">
        <w:trPr>
          <w:trHeight w:val="210"/>
          <w:jc w:val="center"/>
        </w:trPr>
        <w:tc>
          <w:tcPr>
            <w:tcW w:w="95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FACB87F" w14:textId="77777777" w:rsidR="0027760A" w:rsidRPr="00A66C22" w:rsidRDefault="0027760A" w:rsidP="0027760A">
            <w:pPr>
              <w:pStyle w:val="NormalnyWeb"/>
              <w:spacing w:line="360" w:lineRule="auto"/>
              <w:jc w:val="center"/>
              <w:rPr>
                <w:rFonts w:asciiTheme="minorHAnsi" w:hAnsiTheme="minorHAnsi"/>
                <w:b/>
                <w:sz w:val="22"/>
                <w:szCs w:val="22"/>
              </w:rPr>
            </w:pPr>
            <w:r w:rsidRPr="00A66C22">
              <w:rPr>
                <w:rFonts w:asciiTheme="minorHAnsi" w:hAnsiTheme="minorHAnsi"/>
                <w:b/>
                <w:sz w:val="22"/>
                <w:szCs w:val="22"/>
              </w:rPr>
              <w:t>0pkt.</w:t>
            </w:r>
          </w:p>
        </w:tc>
        <w:tc>
          <w:tcPr>
            <w:tcW w:w="7087" w:type="dxa"/>
            <w:tcBorders>
              <w:top w:val="single" w:sz="4" w:space="0" w:color="auto"/>
              <w:left w:val="single" w:sz="4" w:space="0" w:color="auto"/>
              <w:bottom w:val="single" w:sz="4" w:space="0" w:color="auto"/>
              <w:right w:val="single" w:sz="4" w:space="0" w:color="auto"/>
            </w:tcBorders>
            <w:hideMark/>
          </w:tcPr>
          <w:p w14:paraId="402EA958" w14:textId="77777777" w:rsidR="0027760A" w:rsidRPr="00A66C22" w:rsidRDefault="0027760A" w:rsidP="0027760A">
            <w:pPr>
              <w:pStyle w:val="NormalnyWeb"/>
              <w:spacing w:line="360" w:lineRule="auto"/>
              <w:jc w:val="both"/>
              <w:rPr>
                <w:rFonts w:asciiTheme="minorHAnsi" w:hAnsiTheme="minorHAnsi"/>
                <w:b/>
                <w:sz w:val="22"/>
                <w:szCs w:val="22"/>
              </w:rPr>
            </w:pPr>
            <w:r w:rsidRPr="00A66C22">
              <w:rPr>
                <w:rFonts w:asciiTheme="minorHAnsi" w:hAnsiTheme="minorHAnsi"/>
                <w:b/>
                <w:sz w:val="22"/>
                <w:szCs w:val="22"/>
              </w:rPr>
              <w:t xml:space="preserve">powyżej 24 godzin do 48 godzin </w:t>
            </w:r>
            <w:r w:rsidRPr="00A66C22">
              <w:rPr>
                <w:rFonts w:asciiTheme="minorHAnsi" w:hAnsiTheme="minorHAnsi"/>
                <w:sz w:val="22"/>
                <w:szCs w:val="22"/>
              </w:rPr>
              <w:t>od momentu złożenia zamówienia</w:t>
            </w:r>
          </w:p>
        </w:tc>
      </w:tr>
    </w:tbl>
    <w:p w14:paraId="3C485070" w14:textId="77777777" w:rsidR="0027760A" w:rsidRPr="00A66C22" w:rsidRDefault="0027760A" w:rsidP="0027760A">
      <w:pPr>
        <w:pStyle w:val="NormalnyWeb"/>
        <w:spacing w:line="360" w:lineRule="auto"/>
        <w:jc w:val="both"/>
        <w:rPr>
          <w:rFonts w:asciiTheme="minorHAnsi" w:hAnsiTheme="minorHAnsi"/>
          <w:sz w:val="22"/>
          <w:szCs w:val="22"/>
        </w:rPr>
      </w:pPr>
    </w:p>
    <w:p w14:paraId="3D42A078" w14:textId="5D3F01BE" w:rsidR="0027760A" w:rsidRPr="00A66C22" w:rsidRDefault="0027760A" w:rsidP="0027760A">
      <w:pPr>
        <w:pStyle w:val="NormalnyWeb"/>
        <w:spacing w:line="360" w:lineRule="auto"/>
        <w:jc w:val="both"/>
        <w:rPr>
          <w:rFonts w:asciiTheme="minorHAnsi" w:hAnsiTheme="minorHAnsi"/>
          <w:sz w:val="22"/>
          <w:szCs w:val="22"/>
        </w:rPr>
      </w:pPr>
      <w:r w:rsidRPr="00A66C22">
        <w:rPr>
          <w:rFonts w:asciiTheme="minorHAnsi" w:hAnsiTheme="minorHAnsi"/>
          <w:sz w:val="22"/>
          <w:szCs w:val="22"/>
        </w:rPr>
        <w:t xml:space="preserve">Jeżeli Wykonawca nie zaznaczy jednej z powyższych wartości, Zamawiający uzna, że Wykonawca zaoferuje czas dostawy zamówionego towaru w godzinach od 24 do 48 godzin od momentu złożenia i przyzna 0 punktów </w:t>
      </w:r>
      <w:r w:rsidR="00116DD8">
        <w:rPr>
          <w:rFonts w:asciiTheme="minorHAnsi" w:hAnsiTheme="minorHAnsi"/>
          <w:sz w:val="22"/>
          <w:szCs w:val="22"/>
        </w:rPr>
        <w:br/>
      </w:r>
      <w:r w:rsidRPr="00A66C22">
        <w:rPr>
          <w:rFonts w:asciiTheme="minorHAnsi" w:hAnsiTheme="minorHAnsi"/>
          <w:sz w:val="22"/>
          <w:szCs w:val="22"/>
        </w:rPr>
        <w:t xml:space="preserve">w tym kryterium </w:t>
      </w:r>
      <w:r w:rsidRPr="00A66C22">
        <w:rPr>
          <w:rFonts w:asciiTheme="minorHAnsi" w:hAnsiTheme="minorHAnsi"/>
          <w:b/>
          <w:sz w:val="22"/>
          <w:szCs w:val="22"/>
        </w:rPr>
        <w:t>lub</w:t>
      </w:r>
      <w:r w:rsidRPr="00A66C22">
        <w:rPr>
          <w:rFonts w:asciiTheme="minorHAnsi" w:hAnsiTheme="minorHAnsi"/>
          <w:sz w:val="22"/>
          <w:szCs w:val="22"/>
        </w:rPr>
        <w:t xml:space="preserve"> zaznaczy więcej niż jedną wartość, Zamawiający przyjmie wartość o najniższej wadze punktowej.</w:t>
      </w:r>
    </w:p>
    <w:p w14:paraId="2B475B82" w14:textId="77777777" w:rsidR="0027760A" w:rsidRDefault="0027760A" w:rsidP="0027760A">
      <w:pPr>
        <w:pStyle w:val="NormalnyWeb"/>
        <w:spacing w:line="360" w:lineRule="auto"/>
        <w:rPr>
          <w:rFonts w:asciiTheme="minorHAnsi" w:hAnsiTheme="minorHAnsi"/>
          <w:sz w:val="22"/>
          <w:szCs w:val="22"/>
        </w:rPr>
      </w:pPr>
    </w:p>
    <w:p w14:paraId="3010A515" w14:textId="2D583072" w:rsidR="008C4536" w:rsidRPr="008C4536" w:rsidRDefault="0027760A" w:rsidP="0027760A">
      <w:pPr>
        <w:pStyle w:val="NormalnyWeb"/>
        <w:spacing w:line="360" w:lineRule="auto"/>
        <w:rPr>
          <w:rFonts w:asciiTheme="minorHAnsi" w:hAnsiTheme="minorHAnsi" w:cstheme="minorHAnsi"/>
          <w:sz w:val="14"/>
          <w:szCs w:val="14"/>
        </w:rPr>
      </w:pPr>
      <w:r w:rsidRPr="00A66C22">
        <w:rPr>
          <w:rFonts w:asciiTheme="minorHAnsi" w:hAnsiTheme="minorHAnsi"/>
          <w:sz w:val="22"/>
          <w:szCs w:val="22"/>
        </w:rPr>
        <w:t xml:space="preserve">3.2. Wartość punktowa oferty (P) będzie obliczona według wzoru: </w:t>
      </w:r>
      <w:r w:rsidRPr="00A66C22">
        <w:rPr>
          <w:rFonts w:asciiTheme="minorHAnsi" w:hAnsiTheme="minorHAnsi"/>
          <w:b/>
          <w:color w:val="FF0000"/>
          <w:sz w:val="22"/>
          <w:szCs w:val="22"/>
        </w:rPr>
        <w:t>P = P1 + P2</w:t>
      </w:r>
    </w:p>
    <w:p w14:paraId="4EEFA560" w14:textId="77777777" w:rsidR="0027760A" w:rsidRDefault="0027760A" w:rsidP="00C53375">
      <w:pPr>
        <w:pStyle w:val="NormalnyWeb"/>
        <w:spacing w:line="360" w:lineRule="auto"/>
        <w:jc w:val="both"/>
        <w:rPr>
          <w:rFonts w:asciiTheme="minorHAnsi" w:hAnsiTheme="minorHAnsi" w:cstheme="minorHAnsi"/>
          <w:sz w:val="22"/>
          <w:szCs w:val="22"/>
        </w:rPr>
      </w:pPr>
    </w:p>
    <w:p w14:paraId="654342FB" w14:textId="6B8E58C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170706A3"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E654EF">
        <w:rPr>
          <w:rFonts w:asciiTheme="minorHAnsi" w:hAnsiTheme="minorHAnsi"/>
          <w:sz w:val="22"/>
          <w:szCs w:val="22"/>
        </w:rPr>
        <w:t xml:space="preserve">Zamawiający </w:t>
      </w:r>
      <w:r w:rsidR="00E654EF" w:rsidRPr="00E654EF">
        <w:rPr>
          <w:rFonts w:asciiTheme="minorHAnsi" w:hAnsiTheme="minorHAnsi"/>
          <w:b/>
          <w:sz w:val="22"/>
          <w:szCs w:val="22"/>
        </w:rPr>
        <w:t>nie dopuszcza składani</w:t>
      </w:r>
      <w:r w:rsidR="00116DD8">
        <w:rPr>
          <w:rFonts w:asciiTheme="minorHAnsi" w:hAnsiTheme="minorHAnsi"/>
          <w:b/>
          <w:sz w:val="22"/>
          <w:szCs w:val="22"/>
        </w:rPr>
        <w:t>a</w:t>
      </w:r>
      <w:r w:rsidR="00E654EF" w:rsidRPr="00E654EF">
        <w:rPr>
          <w:rFonts w:asciiTheme="minorHAnsi" w:hAnsiTheme="minorHAnsi"/>
          <w:b/>
          <w:sz w:val="22"/>
          <w:szCs w:val="22"/>
        </w:rPr>
        <w:t xml:space="preserve"> ofert częściowych</w:t>
      </w:r>
      <w:r w:rsidR="00E654EF">
        <w:rPr>
          <w:rFonts w:asciiTheme="minorHAnsi" w:hAnsiTheme="minorHAnsi"/>
          <w:sz w:val="22"/>
          <w:szCs w:val="22"/>
        </w:rPr>
        <w:t>.</w:t>
      </w:r>
      <w:r w:rsidR="00E654EF">
        <w:rPr>
          <w:rFonts w:asciiTheme="minorHAnsi" w:hAnsiTheme="minorHAnsi" w:cstheme="minorHAnsi"/>
          <w:b/>
          <w:bCs/>
          <w:sz w:val="22"/>
          <w:szCs w:val="22"/>
        </w:rPr>
        <w:t xml:space="preserve"> </w:t>
      </w:r>
      <w:r w:rsidR="00E654EF">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B557916"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 xml:space="preserve">6.6. Wraz z ofertą winny być złożone w formie skanu </w:t>
      </w:r>
      <w:r w:rsidR="00413A87">
        <w:rPr>
          <w:rStyle w:val="Pogrubienie"/>
          <w:rFonts w:asciiTheme="minorHAnsi" w:hAnsiTheme="minorHAnsi" w:cstheme="minorHAnsi"/>
          <w:color w:val="0000FF"/>
          <w:sz w:val="22"/>
          <w:szCs w:val="22"/>
        </w:rPr>
        <w:t xml:space="preserve">lub w oryginale </w:t>
      </w:r>
      <w:r w:rsidRPr="000C24C7">
        <w:rPr>
          <w:rStyle w:val="Pogrubienie"/>
          <w:rFonts w:asciiTheme="minorHAnsi" w:hAnsiTheme="minorHAnsi" w:cstheme="minorHAnsi"/>
          <w:color w:val="0000FF"/>
          <w:sz w:val="22"/>
          <w:szCs w:val="22"/>
        </w:rPr>
        <w:t>–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5A17DE">
      <w:pPr>
        <w:pStyle w:val="NormalnyWeb"/>
        <w:spacing w:line="360" w:lineRule="auto"/>
        <w:ind w:left="284"/>
        <w:jc w:val="both"/>
        <w:rPr>
          <w:rStyle w:val="Pogrubienie"/>
          <w:rFonts w:asciiTheme="minorHAnsi" w:hAnsiTheme="minorHAnsi" w:cstheme="minorHAnsi"/>
          <w:b w:val="0"/>
          <w:sz w:val="10"/>
          <w:szCs w:val="1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5A17DE" w14:paraId="4B7CB915" w14:textId="77777777" w:rsidTr="00116DD8">
        <w:trPr>
          <w:trHeight w:val="2053"/>
        </w:trPr>
        <w:tc>
          <w:tcPr>
            <w:tcW w:w="9993" w:type="dxa"/>
          </w:tcPr>
          <w:p w14:paraId="3C27659D"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07950207"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D8F08CA" w14:textId="00FEE9AF" w:rsidR="005A17DE" w:rsidRDefault="005A17DE" w:rsidP="005A17DE">
            <w:pPr>
              <w:pStyle w:val="NormalnyWeb"/>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E654EF">
              <w:rPr>
                <w:rFonts w:asciiTheme="minorHAnsi" w:hAnsiTheme="minorHAnsi" w:cstheme="minorHAnsi"/>
                <w:b/>
                <w:bCs/>
                <w:color w:val="0000FF"/>
                <w:sz w:val="22"/>
                <w:szCs w:val="22"/>
                <w:u w:val="single"/>
              </w:rPr>
              <w:t>SZP.225-</w:t>
            </w:r>
            <w:r w:rsidR="0027760A">
              <w:rPr>
                <w:rFonts w:asciiTheme="minorHAnsi" w:hAnsiTheme="minorHAnsi" w:cstheme="minorHAnsi"/>
                <w:b/>
                <w:bCs/>
                <w:color w:val="0000FF"/>
                <w:sz w:val="22"/>
                <w:szCs w:val="22"/>
                <w:u w:val="single"/>
              </w:rPr>
              <w:t>30</w:t>
            </w:r>
            <w:r w:rsidR="00E654EF">
              <w:rPr>
                <w:rFonts w:asciiTheme="minorHAnsi" w:hAnsiTheme="minorHAnsi" w:cstheme="minorHAnsi"/>
                <w:b/>
                <w:bCs/>
                <w:color w:val="0000FF"/>
                <w:sz w:val="22"/>
                <w:szCs w:val="22"/>
                <w:u w:val="single"/>
              </w:rPr>
              <w:t>.2025</w:t>
            </w:r>
            <w:r>
              <w:rPr>
                <w:rFonts w:asciiTheme="minorHAnsi" w:hAnsiTheme="minorHAnsi" w:cstheme="minorHAnsi"/>
                <w:b/>
                <w:bCs/>
                <w:color w:val="0000FF"/>
                <w:sz w:val="22"/>
                <w:szCs w:val="22"/>
                <w:u w:val="single"/>
              </w:rPr>
              <w:t xml:space="preserve"> </w:t>
            </w:r>
          </w:p>
          <w:p w14:paraId="4E578C94" w14:textId="77777777" w:rsidR="0027760A" w:rsidRPr="0027760A" w:rsidRDefault="0027760A" w:rsidP="0027760A">
            <w:pPr>
              <w:pStyle w:val="Akapitzlist"/>
              <w:suppressAutoHyphens/>
              <w:overflowPunct w:val="0"/>
              <w:autoSpaceDE w:val="0"/>
              <w:spacing w:line="360" w:lineRule="auto"/>
              <w:ind w:left="0"/>
              <w:jc w:val="center"/>
              <w:rPr>
                <w:rFonts w:asciiTheme="minorHAnsi" w:eastAsiaTheme="minorEastAsia" w:hAnsiTheme="minorHAnsi" w:cstheme="minorHAnsi"/>
                <w:b/>
                <w:i/>
                <w:iCs/>
                <w:color w:val="000000" w:themeColor="text1"/>
                <w:sz w:val="22"/>
                <w:szCs w:val="22"/>
              </w:rPr>
            </w:pPr>
            <w:r w:rsidRPr="0027760A">
              <w:rPr>
                <w:rFonts w:asciiTheme="minorHAnsi" w:eastAsiaTheme="minorEastAsia" w:hAnsiTheme="minorHAnsi" w:cstheme="minorHAnsi"/>
                <w:b/>
                <w:i/>
                <w:iCs/>
                <w:color w:val="000000" w:themeColor="text1"/>
                <w:sz w:val="22"/>
                <w:szCs w:val="22"/>
              </w:rPr>
              <w:t>Sukcesywna dostawa części samochodowych</w:t>
            </w:r>
          </w:p>
          <w:p w14:paraId="0A070CA5" w14:textId="48C7C1B7" w:rsidR="005A17DE" w:rsidRDefault="005A17DE" w:rsidP="00116DD8">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tc>
      </w:tr>
    </w:tbl>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116DD8" w:rsidRDefault="004A47E3" w:rsidP="004A47E3">
      <w:pPr>
        <w:pStyle w:val="NormalnyWeb"/>
        <w:spacing w:line="360" w:lineRule="auto"/>
        <w:jc w:val="both"/>
        <w:rPr>
          <w:rFonts w:asciiTheme="minorHAnsi" w:hAnsiTheme="minorHAnsi" w:cstheme="minorHAnsi"/>
          <w:sz w:val="10"/>
          <w:szCs w:val="14"/>
        </w:rPr>
      </w:pPr>
      <w:r w:rsidRPr="00957782">
        <w:rPr>
          <w:rFonts w:asciiTheme="minorHAnsi" w:hAnsiTheme="minorHAnsi" w:cstheme="minorHAnsi"/>
          <w:sz w:val="18"/>
          <w:szCs w:val="18"/>
        </w:rPr>
        <w:t> </w:t>
      </w:r>
    </w:p>
    <w:p w14:paraId="1F662C6D" w14:textId="3FDACECE"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E654EF">
        <w:rPr>
          <w:rStyle w:val="Pogrubienie"/>
          <w:rFonts w:asciiTheme="minorHAnsi" w:hAnsiTheme="minorHAnsi" w:cstheme="minorHAnsi"/>
          <w:color w:val="C00000"/>
          <w:sz w:val="22"/>
          <w:szCs w:val="22"/>
          <w:u w:val="single"/>
        </w:rPr>
        <w:t>SZP.225-</w:t>
      </w:r>
      <w:r w:rsidR="0027760A">
        <w:rPr>
          <w:rStyle w:val="Pogrubienie"/>
          <w:rFonts w:asciiTheme="minorHAnsi" w:hAnsiTheme="minorHAnsi" w:cstheme="minorHAnsi"/>
          <w:color w:val="C00000"/>
          <w:sz w:val="22"/>
          <w:szCs w:val="22"/>
          <w:u w:val="single"/>
        </w:rPr>
        <w:t>30</w:t>
      </w:r>
      <w:r w:rsidR="00E654EF">
        <w:rPr>
          <w:rStyle w:val="Pogrubienie"/>
          <w:rFonts w:asciiTheme="minorHAnsi" w:hAnsiTheme="minorHAnsi" w:cstheme="minorHAnsi"/>
          <w:color w:val="C00000"/>
          <w:sz w:val="22"/>
          <w:szCs w:val="22"/>
          <w:u w:val="single"/>
        </w:rPr>
        <w:t>.2025</w:t>
      </w:r>
      <w:r>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059B6C37" w14:textId="77777777" w:rsidR="00116DD8"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36933793"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3AFEEF53"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116DD8">
        <w:rPr>
          <w:rFonts w:asciiTheme="minorHAnsi" w:hAnsiTheme="minorHAnsi" w:cstheme="minorHAnsi"/>
          <w:b/>
          <w:color w:val="FF0000"/>
          <w:sz w:val="22"/>
          <w:szCs w:val="22"/>
          <w:u w:val="single"/>
        </w:rPr>
        <w:t>18.06.</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F71E5C">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13B26A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116DD8">
        <w:rPr>
          <w:rFonts w:asciiTheme="minorHAnsi" w:hAnsiTheme="minorHAnsi" w:cstheme="minorHAnsi"/>
          <w:b/>
          <w:bCs/>
          <w:color w:val="FF0000"/>
          <w:sz w:val="22"/>
          <w:szCs w:val="22"/>
          <w:u w:val="single"/>
        </w:rPr>
        <w:t>18.06.</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F71E5C">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pisarskie, </w:t>
      </w:r>
      <w:r w:rsidRPr="000C24C7">
        <w:rPr>
          <w:rFonts w:asciiTheme="minorHAnsi" w:hAnsiTheme="minorHAnsi" w:cstheme="minorHAnsi"/>
          <w:sz w:val="22"/>
          <w:szCs w:val="22"/>
        </w:rPr>
        <w:lastRenderedPageBreak/>
        <w:t>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20DECA2E"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16.1. Jeżeli Wykonawca złożył więcej niż jedną ofertę</w:t>
      </w:r>
      <w:r w:rsidR="009B0A8D">
        <w:rPr>
          <w:rFonts w:asciiTheme="minorHAnsi" w:hAnsiTheme="minorHAnsi" w:cstheme="minorHAnsi"/>
          <w:sz w:val="22"/>
          <w:szCs w:val="22"/>
        </w:rPr>
        <w:t xml:space="preserve"> (w zakresie jednej części zamówienia)</w:t>
      </w:r>
      <w:r w:rsidRPr="000C24C7">
        <w:rPr>
          <w:rFonts w:asciiTheme="minorHAnsi" w:hAnsiTheme="minorHAnsi" w:cstheme="minorHAnsi"/>
          <w:sz w:val="22"/>
          <w:szCs w:val="22"/>
        </w:rPr>
        <w:t xml:space="preserve">.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E654EF" w:rsidRDefault="00586ED9" w:rsidP="00C53375">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E654EF" w:rsidRDefault="00586ED9" w:rsidP="00C53375">
      <w:pPr>
        <w:pStyle w:val="NormalnyWeb"/>
        <w:spacing w:line="360" w:lineRule="auto"/>
        <w:rPr>
          <w:rFonts w:asciiTheme="minorHAnsi" w:hAnsiTheme="minorHAnsi" w:cstheme="minorHAnsi"/>
          <w:sz w:val="12"/>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07F8E5D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EE1DC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27760A">
        <w:rPr>
          <w:rFonts w:asciiTheme="minorHAnsi" w:hAnsiTheme="minorHAnsi" w:cstheme="minorHAnsi"/>
          <w:sz w:val="22"/>
          <w:szCs w:val="22"/>
        </w:rPr>
        <w:t>+ załącznik 2a (formularz asortymentowo – cenowy)</w:t>
      </w:r>
    </w:p>
    <w:p w14:paraId="10CD27C4" w14:textId="1F41B5DC" w:rsidR="00297831" w:rsidRDefault="00586ED9" w:rsidP="005A17D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101C6862" w14:textId="41723EB1" w:rsidR="008A5EA1" w:rsidRDefault="00C53E5C" w:rsidP="00C5337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Zatwierdz</w:t>
      </w:r>
      <w:r w:rsidR="00116DD8">
        <w:rPr>
          <w:rFonts w:asciiTheme="minorHAnsi" w:hAnsiTheme="minorHAnsi" w:cstheme="minorHAnsi"/>
          <w:sz w:val="22"/>
          <w:szCs w:val="22"/>
        </w:rPr>
        <w:t>iła</w:t>
      </w:r>
    </w:p>
    <w:p w14:paraId="08D55698" w14:textId="58779F3A" w:rsidR="009A53B1" w:rsidRDefault="00CC2380" w:rsidP="00C5337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00244FF0" w14:textId="30679953" w:rsidR="00CC2380" w:rsidRDefault="00CC2380" w:rsidP="00C5337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sectPr w:rsidR="00CC2380"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116DD8">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116DD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2376D4"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76FE"/>
    <w:multiLevelType w:val="hybridMultilevel"/>
    <w:tmpl w:val="7FBCD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A6A1A72"/>
    <w:multiLevelType w:val="hybridMultilevel"/>
    <w:tmpl w:val="3E941C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3AA80B84"/>
    <w:multiLevelType w:val="hybridMultilevel"/>
    <w:tmpl w:val="9FC265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3">
    <w:nsid w:val="6E661807"/>
    <w:multiLevelType w:val="hybridMultilevel"/>
    <w:tmpl w:val="CE08BE26"/>
    <w:lvl w:ilvl="0" w:tplc="31AAD27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0500E69"/>
    <w:multiLevelType w:val="hybridMultilevel"/>
    <w:tmpl w:val="8FD8DA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1"/>
  </w:num>
  <w:num w:numId="11">
    <w:abstractNumId w:val="1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6DD8"/>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732C5"/>
    <w:rsid w:val="0027760A"/>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718C1"/>
    <w:rsid w:val="003873C6"/>
    <w:rsid w:val="003A4A03"/>
    <w:rsid w:val="003B11FA"/>
    <w:rsid w:val="003B4DEC"/>
    <w:rsid w:val="003C2B7A"/>
    <w:rsid w:val="003E3378"/>
    <w:rsid w:val="003E52B9"/>
    <w:rsid w:val="003F4DFE"/>
    <w:rsid w:val="003F6238"/>
    <w:rsid w:val="003F6B59"/>
    <w:rsid w:val="00401D98"/>
    <w:rsid w:val="004072D3"/>
    <w:rsid w:val="00413A87"/>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22930"/>
    <w:rsid w:val="0053394B"/>
    <w:rsid w:val="00535FB1"/>
    <w:rsid w:val="00550CA5"/>
    <w:rsid w:val="00586ED9"/>
    <w:rsid w:val="0059190F"/>
    <w:rsid w:val="005A17DE"/>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D63B1"/>
    <w:rsid w:val="006E3B2B"/>
    <w:rsid w:val="006E4581"/>
    <w:rsid w:val="006F1D94"/>
    <w:rsid w:val="006F24DB"/>
    <w:rsid w:val="007149E2"/>
    <w:rsid w:val="0071565F"/>
    <w:rsid w:val="0071662C"/>
    <w:rsid w:val="00717B93"/>
    <w:rsid w:val="007230E7"/>
    <w:rsid w:val="007320A8"/>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4536"/>
    <w:rsid w:val="008D021C"/>
    <w:rsid w:val="008D7359"/>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A53B1"/>
    <w:rsid w:val="009B0A8D"/>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D3F9F"/>
    <w:rsid w:val="00BF2CC0"/>
    <w:rsid w:val="00BF547E"/>
    <w:rsid w:val="00BF6EFA"/>
    <w:rsid w:val="00C05669"/>
    <w:rsid w:val="00C07BEF"/>
    <w:rsid w:val="00C07FFE"/>
    <w:rsid w:val="00C12B96"/>
    <w:rsid w:val="00C157B0"/>
    <w:rsid w:val="00C224C8"/>
    <w:rsid w:val="00C37A41"/>
    <w:rsid w:val="00C40B68"/>
    <w:rsid w:val="00C50984"/>
    <w:rsid w:val="00C53375"/>
    <w:rsid w:val="00C53E5C"/>
    <w:rsid w:val="00C65758"/>
    <w:rsid w:val="00C71565"/>
    <w:rsid w:val="00C727C8"/>
    <w:rsid w:val="00C74280"/>
    <w:rsid w:val="00C84EDB"/>
    <w:rsid w:val="00C91FC1"/>
    <w:rsid w:val="00CA469F"/>
    <w:rsid w:val="00CB5673"/>
    <w:rsid w:val="00CB64D0"/>
    <w:rsid w:val="00CB7CE9"/>
    <w:rsid w:val="00CC031B"/>
    <w:rsid w:val="00CC2380"/>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4CE6"/>
    <w:rsid w:val="00E654EF"/>
    <w:rsid w:val="00E767DE"/>
    <w:rsid w:val="00E801C1"/>
    <w:rsid w:val="00E90059"/>
    <w:rsid w:val="00E90DC4"/>
    <w:rsid w:val="00E9101C"/>
    <w:rsid w:val="00E927A1"/>
    <w:rsid w:val="00EA4864"/>
    <w:rsid w:val="00EA6C35"/>
    <w:rsid w:val="00EB3D5A"/>
    <w:rsid w:val="00EB3F5B"/>
    <w:rsid w:val="00EC5060"/>
    <w:rsid w:val="00EE242F"/>
    <w:rsid w:val="00EF0CF7"/>
    <w:rsid w:val="00EF2A87"/>
    <w:rsid w:val="00EF4A69"/>
    <w:rsid w:val="00F01821"/>
    <w:rsid w:val="00F04338"/>
    <w:rsid w:val="00F10ACF"/>
    <w:rsid w:val="00F15AA0"/>
    <w:rsid w:val="00F20840"/>
    <w:rsid w:val="00F4202E"/>
    <w:rsid w:val="00F428ED"/>
    <w:rsid w:val="00F450E2"/>
    <w:rsid w:val="00F47DBC"/>
    <w:rsid w:val="00F714C7"/>
    <w:rsid w:val="00F71E5C"/>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8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aliases w:val="sw tekst,L1,Numerowanie,List Paragraph,Podsis rysunku,Akapit z listą numerowaną,lp1,Preambuła,CP-UC,CP-Punkty,Bullet List,List - bullets,Equipment,Bullet 1,List Paragraph Char Char,b1,Figure_name,Numbered Indented Text,List Paragraph11"/>
    <w:basedOn w:val="Normalny"/>
    <w:link w:val="AkapitzlistZnak"/>
    <w:uiPriority w:val="34"/>
    <w:qFormat/>
    <w:rsid w:val="002C216C"/>
    <w:pPr>
      <w:ind w:left="720"/>
      <w:contextualSpacing/>
    </w:pPr>
  </w:style>
  <w:style w:type="character" w:customStyle="1" w:styleId="AkapitzlistZnak">
    <w:name w:val="Akapit z listą Znak"/>
    <w:aliases w:val="sw tekst Znak,L1 Znak,Numerowanie Znak,List Paragraph Znak,Podsis rysunku Znak,Akapit z listą numerowaną Znak,lp1 Znak,Preambuła Znak,CP-UC Znak,CP-Punkty Znak,Bullet List Znak,List - bullets Znak,Equipment Znak,Bullet 1 Znak,b1 Znak"/>
    <w:link w:val="Akapitzlist"/>
    <w:uiPriority w:val="34"/>
    <w:qForma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acopre">
    <w:name w:val="acopre"/>
    <w:basedOn w:val="Domylnaczcionkaakapitu"/>
    <w:rsid w:val="00E654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aliases w:val="sw tekst,L1,Numerowanie,List Paragraph,Podsis rysunku,Akapit z listą numerowaną,lp1,Preambuła,CP-UC,CP-Punkty,Bullet List,List - bullets,Equipment,Bullet 1,List Paragraph Char Char,b1,Figure_name,Numbered Indented Text,List Paragraph11"/>
    <w:basedOn w:val="Normalny"/>
    <w:link w:val="AkapitzlistZnak"/>
    <w:uiPriority w:val="34"/>
    <w:qFormat/>
    <w:rsid w:val="002C216C"/>
    <w:pPr>
      <w:ind w:left="720"/>
      <w:contextualSpacing/>
    </w:pPr>
  </w:style>
  <w:style w:type="character" w:customStyle="1" w:styleId="AkapitzlistZnak">
    <w:name w:val="Akapit z listą Znak"/>
    <w:aliases w:val="sw tekst Znak,L1 Znak,Numerowanie Znak,List Paragraph Znak,Podsis rysunku Znak,Akapit z listą numerowaną Znak,lp1 Znak,Preambuła Znak,CP-UC Znak,CP-Punkty Znak,Bullet List Znak,List - bullets Znak,Equipment Znak,Bullet 1 Znak,b1 Znak"/>
    <w:link w:val="Akapitzlist"/>
    <w:uiPriority w:val="34"/>
    <w:qForma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acopre">
    <w:name w:val="acopre"/>
    <w:basedOn w:val="Domylnaczcionkaakapitu"/>
    <w:rsid w:val="00E65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49095175">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8401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01FE8-1869-4A2B-A0CF-773DC7DC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9</Pages>
  <Words>3004</Words>
  <Characters>18029</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211</cp:revision>
  <cp:lastPrinted>2024-12-12T08:15:00Z</cp:lastPrinted>
  <dcterms:created xsi:type="dcterms:W3CDTF">2020-10-30T10:54:00Z</dcterms:created>
  <dcterms:modified xsi:type="dcterms:W3CDTF">2025-06-12T07:56:00Z</dcterms:modified>
</cp:coreProperties>
</file>