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CD625D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00D95">
        <w:rPr>
          <w:rFonts w:asciiTheme="minorHAnsi" w:hAnsiTheme="minorHAnsi" w:cstheme="minorHAnsi"/>
          <w:b/>
          <w:bCs/>
          <w:color w:val="000000"/>
          <w:sz w:val="22"/>
          <w:szCs w:val="22"/>
        </w:rPr>
        <w:t>10</w:t>
      </w:r>
      <w:r w:rsidR="003718C1">
        <w:rPr>
          <w:rFonts w:asciiTheme="minorHAnsi" w:hAnsiTheme="minorHAnsi" w:cstheme="minorHAnsi"/>
          <w:b/>
          <w:bCs/>
          <w:color w:val="000000"/>
          <w:sz w:val="22"/>
          <w:szCs w:val="22"/>
        </w:rPr>
        <w:t>.0</w:t>
      </w:r>
      <w:r w:rsidR="00800D95">
        <w:rPr>
          <w:rFonts w:asciiTheme="minorHAnsi" w:hAnsiTheme="minorHAnsi" w:cstheme="minorHAnsi"/>
          <w:b/>
          <w:bCs/>
          <w:color w:val="000000"/>
          <w:sz w:val="22"/>
          <w:szCs w:val="22"/>
        </w:rPr>
        <w:t>4</w:t>
      </w:r>
      <w:r w:rsidR="0052293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32BBBECF" w14:textId="0CB034AF" w:rsidR="000568FB" w:rsidRPr="00800D95" w:rsidRDefault="00800D95" w:rsidP="00800D95">
      <w:pPr>
        <w:pStyle w:val="NormalnyWeb"/>
        <w:spacing w:line="360" w:lineRule="auto"/>
        <w:jc w:val="center"/>
        <w:rPr>
          <w:rFonts w:asciiTheme="minorHAnsi" w:hAnsiTheme="minorHAnsi" w:cstheme="minorHAnsi"/>
          <w:b/>
          <w:i/>
          <w:sz w:val="22"/>
          <w:szCs w:val="22"/>
        </w:rPr>
      </w:pPr>
      <w:r w:rsidRPr="00800D95">
        <w:rPr>
          <w:rFonts w:asciiTheme="minorHAnsi" w:hAnsiTheme="minorHAnsi" w:cstheme="minorHAnsi"/>
          <w:b/>
          <w:i/>
          <w:sz w:val="22"/>
          <w:szCs w:val="22"/>
        </w:rPr>
        <w:t>Zakup oraz sukcesywne dostawy opon samochodowych do samochodów służbowych WSPR Olsztyn</w:t>
      </w:r>
    </w:p>
    <w:p w14:paraId="5EE1E02F" w14:textId="77777777" w:rsidR="00800D95" w:rsidRPr="004D0A8E" w:rsidRDefault="00800D95"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54B0E6E" w14:textId="149616F8" w:rsidR="004D0A8E" w:rsidRDefault="00957782" w:rsidP="00800D95">
      <w:pPr>
        <w:pStyle w:val="Akapitzlist"/>
        <w:suppressAutoHyphens/>
        <w:overflowPunct w:val="0"/>
        <w:autoSpaceDE w:val="0"/>
        <w:spacing w:line="360" w:lineRule="auto"/>
        <w:ind w:left="0"/>
        <w:jc w:val="both"/>
        <w:rPr>
          <w:rFonts w:asciiTheme="minorHAnsi" w:hAnsiTheme="minorHAnsi" w:cstheme="minorHAnsi"/>
          <w:bCs/>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Przedmiotem zamówienia jest</w:t>
      </w:r>
      <w:r w:rsidR="00800D95">
        <w:rPr>
          <w:rFonts w:asciiTheme="minorHAnsi" w:hAnsiTheme="minorHAnsi" w:cstheme="minorHAnsi"/>
          <w:sz w:val="22"/>
          <w:szCs w:val="22"/>
        </w:rPr>
        <w:t xml:space="preserve"> </w:t>
      </w:r>
      <w:r w:rsidR="00800D95">
        <w:rPr>
          <w:rFonts w:asciiTheme="minorHAnsi" w:hAnsiTheme="minorHAnsi" w:cstheme="minorHAnsi"/>
          <w:i/>
          <w:sz w:val="22"/>
          <w:szCs w:val="22"/>
        </w:rPr>
        <w:t>zakup oraz sukcesywne dostawy opon samochodowych do samochodów służbowych WSPR Olsztyn.</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0513AD24" w14:textId="1AC47EA2" w:rsidR="003B11FA" w:rsidRPr="004D0A8E" w:rsidRDefault="00522930" w:rsidP="00C53375">
      <w:pPr>
        <w:spacing w:line="360" w:lineRule="auto"/>
        <w:jc w:val="both"/>
        <w:rPr>
          <w:rFonts w:asciiTheme="minorHAnsi" w:hAnsiTheme="minorHAnsi" w:cstheme="minorHAnsi"/>
          <w:b/>
          <w:sz w:val="14"/>
          <w:szCs w:val="14"/>
        </w:rPr>
      </w:pPr>
      <w:r>
        <w:rPr>
          <w:rFonts w:asciiTheme="minorHAnsi" w:hAnsiTheme="minorHAnsi" w:cstheme="minorHAnsi"/>
          <w:sz w:val="22"/>
          <w:szCs w:val="22"/>
        </w:rPr>
        <w:t xml:space="preserve">Przedmiot zamówienia zostanie wykonany </w:t>
      </w:r>
      <w:r w:rsidR="00800D95" w:rsidRPr="008F2FD5">
        <w:rPr>
          <w:rFonts w:asciiTheme="minorHAnsi" w:hAnsiTheme="minorHAnsi" w:cstheme="minorHAnsi"/>
          <w:b/>
          <w:bCs/>
          <w:sz w:val="22"/>
          <w:szCs w:val="22"/>
        </w:rPr>
        <w:t>od daty podpisania umowy</w:t>
      </w:r>
      <w:r w:rsidR="00800D95" w:rsidRPr="008F2FD5">
        <w:rPr>
          <w:rFonts w:asciiTheme="minorHAnsi" w:hAnsiTheme="minorHAnsi" w:cstheme="minorHAnsi"/>
          <w:b/>
          <w:sz w:val="22"/>
          <w:szCs w:val="22"/>
        </w:rPr>
        <w:t xml:space="preserve"> do 30.12.2026 r. </w:t>
      </w:r>
      <w:r w:rsidR="00800D95">
        <w:rPr>
          <w:rFonts w:asciiTheme="minorHAnsi" w:hAnsiTheme="minorHAnsi" w:cstheme="minorHAnsi"/>
          <w:sz w:val="22"/>
          <w:szCs w:val="22"/>
        </w:rPr>
        <w:t>lub do wyczerpania maksymalnej kwoty brutto określonej w § 4 ust 1.</w:t>
      </w:r>
    </w:p>
    <w:p w14:paraId="71501B1E" w14:textId="77777777" w:rsidR="00522930" w:rsidRDefault="00522930" w:rsidP="00C53375">
      <w:pPr>
        <w:spacing w:line="360" w:lineRule="auto"/>
        <w:jc w:val="both"/>
        <w:rPr>
          <w:rFonts w:asciiTheme="minorHAnsi" w:hAnsiTheme="minorHAnsi" w:cstheme="minorHAnsi"/>
          <w:b/>
          <w:sz w:val="22"/>
          <w:szCs w:val="22"/>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AA86573" w14:textId="77777777" w:rsidR="00800D95" w:rsidRDefault="00800D95" w:rsidP="00800D95">
      <w:pPr>
        <w:rPr>
          <w:rFonts w:asciiTheme="minorHAnsi" w:hAnsiTheme="minorHAnsi"/>
          <w:sz w:val="22"/>
          <w:szCs w:val="22"/>
        </w:rPr>
      </w:pPr>
      <w:r>
        <w:rPr>
          <w:rFonts w:asciiTheme="minorHAnsi" w:hAnsiTheme="minorHAnsi" w:cstheme="minorHAnsi"/>
          <w:sz w:val="22"/>
        </w:rPr>
        <w:t>34351100-3 – opony do pojazdów silnikowych</w:t>
      </w:r>
    </w:p>
    <w:p w14:paraId="4463A5C5" w14:textId="77777777" w:rsidR="00522930" w:rsidRPr="004D0A8E" w:rsidRDefault="00522930"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C43F91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800D95">
        <w:rPr>
          <w:rFonts w:asciiTheme="minorHAnsi" w:hAnsiTheme="minorHAnsi"/>
          <w:sz w:val="22"/>
          <w:szCs w:val="22"/>
        </w:rPr>
        <w:t xml:space="preserve">nie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w:t>
      </w:r>
      <w:r w:rsidR="00522930">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800D95">
        <w:trPr>
          <w:trHeight w:val="2053"/>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3B1F15F8"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SZP.225-1</w:t>
            </w:r>
            <w:r w:rsidR="00800D95">
              <w:rPr>
                <w:rFonts w:asciiTheme="minorHAnsi" w:hAnsiTheme="minorHAnsi" w:cstheme="minorHAnsi"/>
                <w:b/>
                <w:bCs/>
                <w:color w:val="0000FF"/>
                <w:sz w:val="22"/>
                <w:szCs w:val="22"/>
                <w:u w:val="single"/>
              </w:rPr>
              <w:t>9</w:t>
            </w:r>
            <w:r>
              <w:rPr>
                <w:rFonts w:asciiTheme="minorHAnsi" w:hAnsiTheme="minorHAnsi" w:cstheme="minorHAnsi"/>
                <w:b/>
                <w:bCs/>
                <w:color w:val="0000FF"/>
                <w:sz w:val="22"/>
                <w:szCs w:val="22"/>
                <w:u w:val="single"/>
              </w:rPr>
              <w:t xml:space="preserve">.2025 </w:t>
            </w:r>
          </w:p>
          <w:p w14:paraId="2F747F84" w14:textId="77777777" w:rsidR="00800D95" w:rsidRDefault="00800D95" w:rsidP="005A17DE">
            <w:pPr>
              <w:pStyle w:val="NormalnyWeb"/>
              <w:spacing w:line="360" w:lineRule="auto"/>
              <w:jc w:val="center"/>
              <w:rPr>
                <w:rFonts w:asciiTheme="minorHAnsi" w:hAnsiTheme="minorHAnsi" w:cstheme="minorHAnsi"/>
                <w:b/>
                <w:i/>
                <w:sz w:val="22"/>
                <w:szCs w:val="22"/>
              </w:rPr>
            </w:pPr>
            <w:r w:rsidRPr="00800D95">
              <w:rPr>
                <w:rFonts w:asciiTheme="minorHAnsi" w:hAnsiTheme="minorHAnsi" w:cstheme="minorHAnsi"/>
                <w:b/>
                <w:i/>
                <w:sz w:val="22"/>
                <w:szCs w:val="22"/>
              </w:rPr>
              <w:t>Zakup oraz sukcesywne dostawy opon samochodowych</w:t>
            </w:r>
          </w:p>
          <w:p w14:paraId="0A070CA5" w14:textId="0DC13B9D" w:rsidR="005A17DE" w:rsidRDefault="005A17DE" w:rsidP="00800D9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800D95" w:rsidRDefault="004A47E3" w:rsidP="004A47E3">
      <w:pPr>
        <w:pStyle w:val="NormalnyWeb"/>
        <w:spacing w:line="360" w:lineRule="auto"/>
        <w:jc w:val="both"/>
        <w:rPr>
          <w:rFonts w:asciiTheme="minorHAnsi" w:hAnsiTheme="minorHAnsi" w:cstheme="minorHAnsi"/>
          <w:sz w:val="12"/>
          <w:szCs w:val="14"/>
        </w:rPr>
      </w:pPr>
      <w:r w:rsidRPr="00957782">
        <w:rPr>
          <w:rFonts w:asciiTheme="minorHAnsi" w:hAnsiTheme="minorHAnsi" w:cstheme="minorHAnsi"/>
          <w:sz w:val="18"/>
          <w:szCs w:val="18"/>
        </w:rPr>
        <w:t> </w:t>
      </w:r>
    </w:p>
    <w:p w14:paraId="1F662C6D" w14:textId="4BDB5BE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SZP.225-1</w:t>
      </w:r>
      <w:r w:rsidR="00800D95">
        <w:rPr>
          <w:rStyle w:val="Pogrubienie"/>
          <w:rFonts w:asciiTheme="minorHAnsi" w:hAnsiTheme="minorHAnsi" w:cstheme="minorHAnsi"/>
          <w:color w:val="C00000"/>
          <w:sz w:val="22"/>
          <w:szCs w:val="22"/>
          <w:u w:val="single"/>
        </w:rPr>
        <w:t>9</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6A7E0C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800D95">
        <w:rPr>
          <w:rFonts w:asciiTheme="minorHAnsi" w:hAnsiTheme="minorHAnsi" w:cstheme="minorHAnsi"/>
          <w:b/>
          <w:color w:val="FF0000"/>
          <w:sz w:val="22"/>
          <w:szCs w:val="22"/>
          <w:u w:val="single"/>
        </w:rPr>
        <w:t>15</w:t>
      </w:r>
      <w:r w:rsidR="003718C1">
        <w:rPr>
          <w:rFonts w:asciiTheme="minorHAnsi" w:hAnsiTheme="minorHAnsi" w:cstheme="minorHAnsi"/>
          <w:b/>
          <w:color w:val="FF0000"/>
          <w:sz w:val="22"/>
          <w:szCs w:val="22"/>
          <w:u w:val="single"/>
        </w:rPr>
        <w:t>.04.</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B03F21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800D95">
        <w:rPr>
          <w:rFonts w:asciiTheme="minorHAnsi" w:hAnsiTheme="minorHAnsi" w:cstheme="minorHAnsi"/>
          <w:b/>
          <w:bCs/>
          <w:color w:val="FF0000"/>
          <w:sz w:val="22"/>
          <w:szCs w:val="22"/>
          <w:u w:val="single"/>
        </w:rPr>
        <w:t>15</w:t>
      </w:r>
      <w:r w:rsidR="003718C1">
        <w:rPr>
          <w:rFonts w:asciiTheme="minorHAnsi" w:hAnsiTheme="minorHAnsi" w:cstheme="minorHAnsi"/>
          <w:b/>
          <w:bCs/>
          <w:color w:val="FF0000"/>
          <w:sz w:val="22"/>
          <w:szCs w:val="22"/>
          <w:u w:val="single"/>
        </w:rPr>
        <w:t>.04.</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800D95" w:rsidRDefault="00586ED9" w:rsidP="00800D95">
      <w:pPr>
        <w:pStyle w:val="NormalnyWeb"/>
        <w:spacing w:line="276" w:lineRule="auto"/>
        <w:jc w:val="both"/>
        <w:rPr>
          <w:rFonts w:asciiTheme="minorHAnsi" w:hAnsiTheme="minorHAnsi" w:cstheme="minorHAnsi"/>
          <w:sz w:val="10"/>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800D95">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lastRenderedPageBreak/>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800D95" w:rsidRDefault="00AD58FC" w:rsidP="00C53375">
      <w:pPr>
        <w:pStyle w:val="NormalnyWeb"/>
        <w:spacing w:line="360" w:lineRule="auto"/>
        <w:ind w:left="360"/>
        <w:jc w:val="both"/>
        <w:rPr>
          <w:rFonts w:asciiTheme="minorHAnsi" w:hAnsiTheme="minorHAnsi" w:cstheme="minorHAnsi"/>
          <w:sz w:val="10"/>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800D95" w:rsidRDefault="00586ED9" w:rsidP="00800D95">
      <w:pPr>
        <w:pStyle w:val="NormalnyWeb"/>
        <w:jc w:val="both"/>
        <w:rPr>
          <w:rFonts w:asciiTheme="minorHAnsi" w:hAnsiTheme="minorHAnsi" w:cstheme="minorHAnsi"/>
          <w:sz w:val="14"/>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3E7483" w14:textId="4918A072" w:rsidR="00586ED9" w:rsidRPr="000C24C7" w:rsidRDefault="00586ED9" w:rsidP="00C53375">
      <w:pPr>
        <w:pStyle w:val="NormalnyWeb"/>
        <w:spacing w:line="360" w:lineRule="auto"/>
        <w:rPr>
          <w:rFonts w:asciiTheme="minorHAnsi" w:hAnsiTheme="minorHAnsi" w:cstheme="minorHAnsi"/>
          <w:sz w:val="22"/>
          <w:szCs w:val="22"/>
        </w:rPr>
      </w:pPr>
      <w:r w:rsidRPr="00B7324B">
        <w:rPr>
          <w:rFonts w:asciiTheme="minorHAnsi" w:hAnsiTheme="minorHAnsi" w:cstheme="minorHAnsi"/>
          <w:sz w:val="18"/>
          <w:szCs w:val="18"/>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6CC3C1E" w14:textId="735FC731" w:rsidR="00800D95" w:rsidRDefault="00586ED9" w:rsidP="00800D9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Załącznik  3 - Wzór umowy</w:t>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t xml:space="preserve">    </w:t>
      </w:r>
      <w:r w:rsidRPr="000C24C7">
        <w:rPr>
          <w:rFonts w:asciiTheme="minorHAnsi" w:hAnsiTheme="minorHAnsi" w:cstheme="minorHAnsi"/>
          <w:sz w:val="22"/>
          <w:szCs w:val="22"/>
        </w:rPr>
        <w:t xml:space="preserve"> </w:t>
      </w:r>
      <w:r w:rsidR="00800D95">
        <w:rPr>
          <w:rFonts w:asciiTheme="minorHAnsi" w:hAnsiTheme="minorHAnsi" w:cstheme="minorHAnsi"/>
          <w:sz w:val="22"/>
          <w:szCs w:val="22"/>
        </w:rPr>
        <w:t>Zatwierdzam</w:t>
      </w:r>
    </w:p>
    <w:p w14:paraId="4391D1F7" w14:textId="657108EE" w:rsidR="00800D95" w:rsidRDefault="00800D95" w:rsidP="00800D9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F6B60E5" w14:textId="26365756" w:rsidR="00800D95" w:rsidRPr="00800D95" w:rsidRDefault="00800D95" w:rsidP="00800D9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1DCA93DC" w14:textId="77777777" w:rsidR="008A5EA1" w:rsidRPr="008A5EA1" w:rsidRDefault="008A5EA1" w:rsidP="00C53375">
      <w:pPr>
        <w:spacing w:line="360" w:lineRule="auto"/>
      </w:pPr>
    </w:p>
    <w:sectPr w:rsidR="008A5EA1" w:rsidRPr="008A5EA1"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F2FD5">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F2FD5">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8A9724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15:restartNumberingAfterBreak="0">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848893">
    <w:abstractNumId w:val="2"/>
  </w:num>
  <w:num w:numId="2" w16cid:durableId="145058932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930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3612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639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511139">
    <w:abstractNumId w:val="12"/>
  </w:num>
  <w:num w:numId="7" w16cid:durableId="1503013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6328999">
    <w:abstractNumId w:val="3"/>
  </w:num>
  <w:num w:numId="9" w16cid:durableId="2072732535">
    <w:abstractNumId w:val="4"/>
  </w:num>
  <w:num w:numId="10" w16cid:durableId="1809396599">
    <w:abstractNumId w:val="11"/>
  </w:num>
  <w:num w:numId="11" w16cid:durableId="793984088">
    <w:abstractNumId w:val="14"/>
  </w:num>
  <w:num w:numId="12" w16cid:durableId="1608731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893276">
    <w:abstractNumId w:val="1"/>
  </w:num>
  <w:num w:numId="14" w16cid:durableId="301933009">
    <w:abstractNumId w:val="6"/>
  </w:num>
  <w:num w:numId="15" w16cid:durableId="2061318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450F"/>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0D95"/>
    <w:rsid w:val="00807EA6"/>
    <w:rsid w:val="00822598"/>
    <w:rsid w:val="008270DE"/>
    <w:rsid w:val="00842607"/>
    <w:rsid w:val="00844F39"/>
    <w:rsid w:val="00850172"/>
    <w:rsid w:val="00887093"/>
    <w:rsid w:val="008A5EA1"/>
    <w:rsid w:val="008C4536"/>
    <w:rsid w:val="008D021C"/>
    <w:rsid w:val="008D7359"/>
    <w:rsid w:val="008F2FD5"/>
    <w:rsid w:val="008F4F88"/>
    <w:rsid w:val="009169D9"/>
    <w:rsid w:val="00917C66"/>
    <w:rsid w:val="00920289"/>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362E"/>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37A41"/>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40E9DD2"/>
  <w15:docId w15:val="{9079E344-C265-446D-BCA3-BE80DC43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8798875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0646-B6C8-408A-BA64-B265614B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8</Pages>
  <Words>2802</Words>
  <Characters>16816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207</cp:revision>
  <cp:lastPrinted>2024-12-12T08:15:00Z</cp:lastPrinted>
  <dcterms:created xsi:type="dcterms:W3CDTF">2020-10-30T10:54:00Z</dcterms:created>
  <dcterms:modified xsi:type="dcterms:W3CDTF">2025-04-10T09:30:00Z</dcterms:modified>
</cp:coreProperties>
</file>