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6E2235">
      <w:pPr>
        <w:spacing w:after="0" w:line="360" w:lineRule="auto"/>
        <w:jc w:val="right"/>
        <w:rPr>
          <w:i/>
        </w:rPr>
      </w:pPr>
      <w:bookmarkStart w:id="0" w:name="_GoBack"/>
      <w:bookmarkEnd w:id="0"/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6CC16117" w:rsidR="00FE4886" w:rsidRDefault="00B8239F" w:rsidP="006E2235">
      <w:pPr>
        <w:spacing w:after="0" w:line="360" w:lineRule="auto"/>
        <w:jc w:val="right"/>
        <w:rPr>
          <w:i/>
        </w:rPr>
      </w:pPr>
      <w:r>
        <w:rPr>
          <w:i/>
        </w:rPr>
        <w:t>do SZP.225-</w:t>
      </w:r>
      <w:r w:rsidR="00D66369">
        <w:rPr>
          <w:i/>
        </w:rPr>
        <w:t>63.</w:t>
      </w:r>
      <w:r>
        <w:rPr>
          <w:i/>
        </w:rPr>
        <w:t>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i/>
          <w:color w:val="FF0000"/>
        </w:rPr>
      </w:pPr>
    </w:p>
    <w:p w14:paraId="784D4A33" w14:textId="17DD6272" w:rsidR="00647701" w:rsidRDefault="00647701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7491059A" w14:textId="09EAB774" w:rsidR="00910598" w:rsidRPr="00910598" w:rsidRDefault="00910598" w:rsidP="00910598">
      <w:pPr>
        <w:widowControl w:val="0"/>
        <w:suppressAutoHyphens/>
        <w:spacing w:after="0" w:line="240" w:lineRule="auto"/>
        <w:rPr>
          <w:rFonts w:eastAsia="SimSun" w:cs="Mangal"/>
          <w:b/>
          <w:kern w:val="1"/>
          <w:sz w:val="28"/>
          <w:szCs w:val="28"/>
          <w:lang w:eastAsia="zh-CN" w:bidi="hi-IN"/>
        </w:rPr>
      </w:pPr>
      <w:bookmarkStart w:id="1" w:name="_Hlk169247756"/>
      <w:r w:rsidRPr="00910598">
        <w:rPr>
          <w:rFonts w:eastAsia="SimSun" w:cs="Mangal"/>
          <w:b/>
          <w:kern w:val="1"/>
          <w:sz w:val="28"/>
          <w:szCs w:val="28"/>
          <w:lang w:eastAsia="zh-CN" w:bidi="hi-IN"/>
        </w:rPr>
        <w:t>Zadanie nr 1</w:t>
      </w:r>
    </w:p>
    <w:bookmarkEnd w:id="1"/>
    <w:p w14:paraId="2A788E6D" w14:textId="77777777" w:rsidR="004D188A" w:rsidRPr="001B4A81" w:rsidRDefault="004D188A" w:rsidP="00D66369">
      <w:pPr>
        <w:widowControl w:val="0"/>
        <w:suppressAutoHyphens/>
        <w:spacing w:after="0" w:line="360" w:lineRule="auto"/>
        <w:jc w:val="center"/>
        <w:rPr>
          <w:rFonts w:eastAsia="SimSun" w:cstheme="minorHAnsi"/>
          <w:b/>
          <w:kern w:val="1"/>
          <w:sz w:val="12"/>
          <w:szCs w:val="20"/>
          <w:lang w:eastAsia="zh-CN" w:bidi="hi-IN"/>
        </w:rPr>
      </w:pPr>
    </w:p>
    <w:p w14:paraId="6F0C1D18" w14:textId="6EB81D23" w:rsidR="008733D1" w:rsidRPr="00D66369" w:rsidRDefault="00DB0972" w:rsidP="00D66369">
      <w:pPr>
        <w:pStyle w:val="Bezodstpw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66369">
        <w:rPr>
          <w:rFonts w:asciiTheme="minorHAnsi" w:hAnsiTheme="minorHAnsi" w:cstheme="minorHAnsi"/>
        </w:rPr>
        <w:t>Przedmiotem zamówienia jest świadczenie usług telekomunikacyjnych w zakresie bezprzewodowej transmisji</w:t>
      </w:r>
      <w:r w:rsidR="00A6752F" w:rsidRPr="00D66369">
        <w:rPr>
          <w:rFonts w:asciiTheme="minorHAnsi" w:hAnsiTheme="minorHAnsi" w:cstheme="minorHAnsi"/>
        </w:rPr>
        <w:t xml:space="preserve"> danych </w:t>
      </w:r>
      <w:r w:rsidR="008733D1" w:rsidRPr="00D66369">
        <w:rPr>
          <w:rFonts w:asciiTheme="minorHAnsi" w:hAnsiTheme="minorHAnsi" w:cstheme="minorHAnsi"/>
        </w:rPr>
        <w:t>dla niżej wymienionych kart SIM z przypisanymi numerami: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D66369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D66369" w:rsidRDefault="00C45291" w:rsidP="00D66369">
            <w:pPr>
              <w:spacing w:after="0" w:line="36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D66369" w:rsidRDefault="00C45291" w:rsidP="00D66369">
            <w:pPr>
              <w:spacing w:after="0" w:line="36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23414F8A" w:rsidR="00C4529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szCs w:val="20"/>
                <w:lang w:eastAsia="pl-PL"/>
              </w:rPr>
              <w:t>Rodzaj karty</w:t>
            </w:r>
          </w:p>
        </w:tc>
      </w:tr>
      <w:tr w:rsidR="00AD3ED6" w:rsidRPr="00D66369" w14:paraId="37FBC826" w14:textId="77777777" w:rsidTr="00BC3EB4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10A88DBD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3114A186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798 744 882</w:t>
            </w:r>
          </w:p>
        </w:tc>
        <w:tc>
          <w:tcPr>
            <w:tcW w:w="3201" w:type="dxa"/>
            <w:shd w:val="clear" w:color="000000" w:fill="FFFFFF"/>
            <w:noWrap/>
          </w:tcPr>
          <w:p w14:paraId="6FF2282A" w14:textId="7F85618D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6FB1E1C4" w14:textId="77777777" w:rsidTr="00BC3EB4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513A3225" w14:textId="2D5235EC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9533" w14:textId="3AFC5030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798 744 889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42A49D" w14:textId="7C9D25EA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4A333C5F" w14:textId="77777777" w:rsidTr="00BC3EB4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45EB634B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33C4721A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950025" w14:textId="125A1F19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4BFE9F02" w14:textId="77777777" w:rsidTr="00BC3EB4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2667B8C8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3674C" w14:textId="74289B0F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6DB83017" w14:textId="77777777" w:rsidTr="00BC3EB4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54D17673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9E44C" w14:textId="02B9F81E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77BE5264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33703E50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F6DA6" w14:textId="74134B5E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2301A93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233F50DB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</w:rPr>
            </w:pPr>
            <w:r w:rsidRPr="00D66369">
              <w:rPr>
                <w:rFonts w:cstheme="minorHAnsi"/>
                <w:b/>
                <w:bCs/>
              </w:rPr>
              <w:t>513 872 614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A14D" w14:textId="4F0DB733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76EFB7B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5C3A10F8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513 872 618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09060" w14:textId="3AA9D415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04197100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203A093D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513 872 629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041153" w14:textId="6D813A4E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547B588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11A6B7AD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513 872 680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23EE57" w14:textId="43E12CB5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01BB1A58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307CF2D2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513 872 719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94865" w14:textId="447C3EAD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68CFB9D6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6D7D4B43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513 872 725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ECADAE" w14:textId="7ABD3010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125B192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46E9D737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513 872 817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1630CD" w14:textId="13F22722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  <w:tr w:rsidR="00AD3ED6" w:rsidRPr="00D66369" w14:paraId="24AD625B" w14:textId="77777777" w:rsidTr="0063775B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A806" w14:textId="06FB0A04" w:rsidR="00AD3ED6" w:rsidRPr="00D66369" w:rsidRDefault="00AD3ED6" w:rsidP="00D66369">
            <w:pPr>
              <w:spacing w:after="0" w:line="36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66369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9BB5A" w14:textId="4BD40823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  <w:b/>
                <w:bCs/>
              </w:rPr>
              <w:t>512 931 672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A56F58" w14:textId="2048F6D1" w:rsidR="00AD3ED6" w:rsidRPr="00D66369" w:rsidRDefault="00AD3ED6" w:rsidP="00D66369">
            <w:pPr>
              <w:spacing w:after="0" w:line="360" w:lineRule="auto"/>
              <w:jc w:val="center"/>
              <w:rPr>
                <w:rFonts w:cstheme="minorHAnsi"/>
                <w:color w:val="ED7D31" w:themeColor="accent2"/>
              </w:rPr>
            </w:pPr>
            <w:r w:rsidRPr="00D66369">
              <w:rPr>
                <w:rFonts w:cstheme="minorHAnsi"/>
              </w:rPr>
              <w:t>karty telemetryczne bez PIN</w:t>
            </w:r>
          </w:p>
        </w:tc>
      </w:tr>
    </w:tbl>
    <w:p w14:paraId="0AC8E00D" w14:textId="77563FAD" w:rsidR="008733D1" w:rsidRPr="00D66369" w:rsidRDefault="002C47FD" w:rsidP="00D66369">
      <w:pPr>
        <w:pStyle w:val="Akapitzlist"/>
        <w:numPr>
          <w:ilvl w:val="0"/>
          <w:numId w:val="7"/>
        </w:numPr>
        <w:spacing w:before="120" w:line="360" w:lineRule="auto"/>
        <w:rPr>
          <w:rFonts w:cstheme="minorHAnsi"/>
          <w:color w:val="000000" w:themeColor="text1"/>
          <w:szCs w:val="20"/>
        </w:rPr>
      </w:pPr>
      <w:r w:rsidRPr="00D66369">
        <w:rPr>
          <w:rFonts w:cstheme="minorHAnsi"/>
          <w:color w:val="000000" w:themeColor="text1"/>
          <w:szCs w:val="20"/>
        </w:rPr>
        <w:t>Wykonawca musi zapewnić możliwość transmisj</w:t>
      </w:r>
      <w:r w:rsidR="00FD7D7C" w:rsidRPr="00D66369">
        <w:rPr>
          <w:rFonts w:cstheme="minorHAnsi"/>
          <w:color w:val="000000" w:themeColor="text1"/>
          <w:szCs w:val="20"/>
        </w:rPr>
        <w:t>i</w:t>
      </w:r>
      <w:r w:rsidRPr="00D66369">
        <w:rPr>
          <w:rFonts w:cstheme="minorHAnsi"/>
          <w:color w:val="000000" w:themeColor="text1"/>
          <w:szCs w:val="20"/>
        </w:rPr>
        <w:t xml:space="preserve"> danych minimum </w:t>
      </w:r>
      <w:r w:rsidR="00C45291" w:rsidRPr="00D66369">
        <w:rPr>
          <w:rFonts w:cstheme="minorHAnsi"/>
          <w:color w:val="000000" w:themeColor="text1"/>
          <w:szCs w:val="20"/>
        </w:rPr>
        <w:t>5</w:t>
      </w:r>
      <w:r w:rsidRPr="00D66369">
        <w:rPr>
          <w:rFonts w:cstheme="minorHAnsi"/>
          <w:color w:val="000000" w:themeColor="text1"/>
          <w:szCs w:val="20"/>
        </w:rPr>
        <w:t xml:space="preserve"> GB w ruchu krajowym</w:t>
      </w:r>
      <w:r w:rsidR="009A4175" w:rsidRPr="00D66369">
        <w:rPr>
          <w:rFonts w:cstheme="minorHAnsi"/>
          <w:color w:val="000000" w:themeColor="text1"/>
          <w:szCs w:val="20"/>
        </w:rPr>
        <w:t xml:space="preserve"> dla każdej karty </w:t>
      </w:r>
      <w:r w:rsidR="00C87875" w:rsidRPr="00D66369">
        <w:rPr>
          <w:rFonts w:cstheme="minorHAnsi"/>
          <w:color w:val="000000" w:themeColor="text1"/>
          <w:szCs w:val="20"/>
        </w:rPr>
        <w:t>telemetrycznej</w:t>
      </w:r>
    </w:p>
    <w:p w14:paraId="09B3F199" w14:textId="17DE9488" w:rsidR="00EA026D" w:rsidRPr="00D66369" w:rsidRDefault="008A0FA4" w:rsidP="00D66369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cstheme="minorHAnsi"/>
          <w:b/>
          <w:strike/>
          <w:color w:val="C00000"/>
        </w:rPr>
      </w:pPr>
      <w:r w:rsidRPr="00D66369">
        <w:rPr>
          <w:rFonts w:cstheme="minorHAnsi"/>
          <w:color w:val="C00000"/>
        </w:rPr>
        <w:t xml:space="preserve">Wykonawca </w:t>
      </w:r>
      <w:r w:rsidR="00F14050" w:rsidRPr="00D66369">
        <w:rPr>
          <w:rFonts w:cstheme="minorHAnsi"/>
          <w:color w:val="C00000"/>
        </w:rPr>
        <w:t xml:space="preserve">zapewni pracę kart </w:t>
      </w:r>
      <w:r w:rsidR="00C87875" w:rsidRPr="00D66369">
        <w:rPr>
          <w:rFonts w:cstheme="minorHAnsi"/>
          <w:color w:val="C00000"/>
        </w:rPr>
        <w:t>telemetrycznych</w:t>
      </w:r>
      <w:r w:rsidR="00D466B5" w:rsidRPr="00D66369">
        <w:rPr>
          <w:rFonts w:cstheme="minorHAnsi"/>
          <w:color w:val="C00000"/>
        </w:rPr>
        <w:t xml:space="preserve"> w sieci</w:t>
      </w:r>
      <w:r w:rsidR="00F14050" w:rsidRPr="00D66369">
        <w:rPr>
          <w:rFonts w:cstheme="minorHAnsi"/>
          <w:color w:val="C00000"/>
        </w:rPr>
        <w:t xml:space="preserve"> 4G przez cały okres trwania umowy</w:t>
      </w:r>
    </w:p>
    <w:p w14:paraId="7F827BC6" w14:textId="1F4B404F" w:rsidR="00910598" w:rsidRPr="00D66369" w:rsidRDefault="00910598" w:rsidP="00D66369">
      <w:pPr>
        <w:widowControl w:val="0"/>
        <w:suppressAutoHyphens/>
        <w:spacing w:after="0" w:line="360" w:lineRule="auto"/>
        <w:rPr>
          <w:rFonts w:eastAsia="SimSun" w:cstheme="minorHAnsi"/>
          <w:b/>
          <w:kern w:val="1"/>
          <w:sz w:val="28"/>
          <w:szCs w:val="28"/>
          <w:lang w:eastAsia="zh-CN" w:bidi="hi-IN"/>
        </w:rPr>
      </w:pPr>
      <w:r w:rsidRPr="00D66369">
        <w:rPr>
          <w:rFonts w:eastAsia="SimSun" w:cstheme="minorHAnsi"/>
          <w:b/>
          <w:kern w:val="1"/>
          <w:sz w:val="28"/>
          <w:szCs w:val="28"/>
          <w:lang w:eastAsia="zh-CN" w:bidi="hi-IN"/>
        </w:rPr>
        <w:t>Zadanie nr 2</w:t>
      </w:r>
    </w:p>
    <w:p w14:paraId="1CD405D6" w14:textId="75DCDC70" w:rsidR="001A0AFE" w:rsidRPr="00D66369" w:rsidRDefault="001A0AFE" w:rsidP="00D66369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cstheme="minorHAnsi"/>
          <w:b/>
          <w:strike/>
          <w:color w:val="FF0000"/>
        </w:rPr>
      </w:pPr>
      <w:r w:rsidRPr="00D66369">
        <w:rPr>
          <w:rFonts w:cstheme="minorHAnsi"/>
        </w:rPr>
        <w:t>Na wniosek Zamawiającego złożony w wersji pisemnej lub mailowej, Wykonawca uruchomi dodatkowe łącz</w:t>
      </w:r>
      <w:r w:rsidR="008733D1" w:rsidRPr="00D66369">
        <w:rPr>
          <w:rFonts w:cstheme="minorHAnsi"/>
        </w:rPr>
        <w:t xml:space="preserve">e kart </w:t>
      </w:r>
      <w:r w:rsidR="00C87875" w:rsidRPr="00D66369">
        <w:rPr>
          <w:rFonts w:cstheme="minorHAnsi"/>
        </w:rPr>
        <w:t>telemetrycznych</w:t>
      </w:r>
      <w:r w:rsidRPr="00D66369">
        <w:rPr>
          <w:rFonts w:cstheme="minorHAnsi"/>
        </w:rPr>
        <w:t xml:space="preserve"> (bez PIN-u).</w:t>
      </w:r>
      <w:r w:rsidR="008733D1" w:rsidRPr="00D66369">
        <w:rPr>
          <w:rFonts w:cstheme="minorHAnsi"/>
        </w:rPr>
        <w:t xml:space="preserve"> 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D66369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Uwagi</w:t>
            </w:r>
          </w:p>
        </w:tc>
      </w:tr>
      <w:tr w:rsidR="001A0AFE" w:rsidRPr="00D66369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B4DCD4C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57E2726C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66369">
              <w:rPr>
                <w:rFonts w:eastAsia="Times New Roman" w:cstheme="minorHAnsi"/>
                <w:b/>
                <w:bCs/>
                <w:lang w:eastAsia="pl-PL"/>
              </w:rPr>
              <w:t xml:space="preserve">Nowa karta </w:t>
            </w:r>
            <w:r w:rsidR="00C87875" w:rsidRPr="00D66369">
              <w:rPr>
                <w:rFonts w:eastAsia="Times New Roman" w:cstheme="minorHAnsi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D66369" w:rsidRDefault="001A0AFE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8733D1" w:rsidRPr="00D66369" w14:paraId="598F6CFB" w14:textId="77777777" w:rsidTr="0025172E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2C9CCD9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8EAE" w14:textId="77EDF41A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66369">
              <w:rPr>
                <w:rFonts w:eastAsia="Times New Roman" w:cstheme="minorHAnsi"/>
                <w:b/>
                <w:bCs/>
                <w:lang w:eastAsia="pl-PL"/>
              </w:rPr>
              <w:t xml:space="preserve">Nowa karta </w:t>
            </w:r>
            <w:r w:rsidR="00C87875" w:rsidRPr="00D66369">
              <w:rPr>
                <w:rFonts w:eastAsia="Times New Roman" w:cstheme="minorHAnsi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 Rezerwa </w:t>
            </w:r>
          </w:p>
        </w:tc>
      </w:tr>
      <w:tr w:rsidR="008733D1" w:rsidRPr="00D66369" w14:paraId="70DB48C3" w14:textId="77777777" w:rsidTr="0025172E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42C4A4EE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45747" w14:textId="5E47F101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66369">
              <w:rPr>
                <w:rFonts w:eastAsia="Times New Roman" w:cstheme="minorHAnsi"/>
                <w:b/>
                <w:bCs/>
                <w:lang w:eastAsia="pl-PL"/>
              </w:rPr>
              <w:t xml:space="preserve">Nowa karta </w:t>
            </w:r>
            <w:r w:rsidR="00C87875" w:rsidRPr="00D66369">
              <w:rPr>
                <w:rFonts w:eastAsia="Times New Roman" w:cstheme="minorHAnsi"/>
                <w:b/>
                <w:bCs/>
                <w:lang w:eastAsia="pl-PL"/>
              </w:rPr>
              <w:t>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8733D1" w:rsidRPr="00D66369" w:rsidRDefault="008733D1" w:rsidP="00D66369">
            <w:pPr>
              <w:spacing w:after="0"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66369">
              <w:rPr>
                <w:rFonts w:eastAsia="Times New Roman" w:cstheme="minorHAnsi"/>
                <w:lang w:eastAsia="pl-PL"/>
              </w:rPr>
              <w:t> Rezerwa </w:t>
            </w:r>
          </w:p>
        </w:tc>
      </w:tr>
    </w:tbl>
    <w:p w14:paraId="27834FA9" w14:textId="77777777" w:rsidR="001A0AFE" w:rsidRPr="00D66369" w:rsidRDefault="001A0AFE" w:rsidP="00D66369">
      <w:pPr>
        <w:pStyle w:val="Akapitzlist"/>
        <w:spacing w:line="360" w:lineRule="auto"/>
        <w:ind w:left="426"/>
        <w:jc w:val="both"/>
        <w:rPr>
          <w:rFonts w:cstheme="minorHAnsi"/>
          <w:b/>
          <w:strike/>
          <w:sz w:val="24"/>
          <w:szCs w:val="18"/>
        </w:rPr>
      </w:pPr>
    </w:p>
    <w:p w14:paraId="42322588" w14:textId="6395E2CF" w:rsidR="008733D1" w:rsidRPr="00D66369" w:rsidRDefault="008733D1" w:rsidP="00D66369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  <w:b/>
          <w:strike/>
          <w:sz w:val="24"/>
          <w:szCs w:val="18"/>
        </w:rPr>
      </w:pPr>
      <w:r w:rsidRPr="00D66369">
        <w:rPr>
          <w:rFonts w:cstheme="minorHAnsi"/>
        </w:rPr>
        <w:t xml:space="preserve">Zamawiający w obecnej chwili posiada abonamenty u Wykonawcy </w:t>
      </w:r>
      <w:r w:rsidR="00D466B5" w:rsidRPr="00D66369">
        <w:rPr>
          <w:rFonts w:cstheme="minorHAnsi"/>
          <w:b/>
          <w:bCs/>
          <w:szCs w:val="20"/>
        </w:rPr>
        <w:t>Orange S.A.,</w:t>
      </w:r>
      <w:r w:rsidRPr="00D66369">
        <w:rPr>
          <w:rFonts w:cstheme="minorHAnsi"/>
          <w:b/>
          <w:szCs w:val="20"/>
        </w:rPr>
        <w:t xml:space="preserve"> </w:t>
      </w:r>
      <w:r w:rsidRPr="00D66369">
        <w:rPr>
          <w:rFonts w:cstheme="minorHAnsi"/>
          <w:szCs w:val="20"/>
        </w:rPr>
        <w:t xml:space="preserve">Aktualna umowa </w:t>
      </w:r>
      <w:r w:rsidR="00D466B5" w:rsidRPr="00D66369">
        <w:rPr>
          <w:rFonts w:cstheme="minorHAnsi"/>
          <w:szCs w:val="20"/>
        </w:rPr>
        <w:t>obowiązuje do 31 grudnia 2024 r.</w:t>
      </w:r>
    </w:p>
    <w:p w14:paraId="275DF0F8" w14:textId="77777777" w:rsidR="008733D1" w:rsidRPr="00D66369" w:rsidRDefault="008733D1" w:rsidP="00D66369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cstheme="minorHAnsi"/>
          <w:color w:val="000000"/>
        </w:rPr>
      </w:pPr>
      <w:r w:rsidRPr="00D66369">
        <w:rPr>
          <w:rFonts w:cstheme="minorHAnsi"/>
          <w:color w:val="000000"/>
        </w:rPr>
        <w:t>Wykonawca zagwarantuje najwyższą jakość świadczonej usługi dotyczącej przesyłu danych, zapewni ciągłość</w:t>
      </w:r>
      <w:r w:rsidRPr="00D66369">
        <w:rPr>
          <w:rFonts w:cstheme="minorHAnsi"/>
          <w:b/>
          <w:color w:val="000000"/>
        </w:rPr>
        <w:t xml:space="preserve"> </w:t>
      </w:r>
      <w:r w:rsidRPr="00D66369">
        <w:rPr>
          <w:rFonts w:cstheme="minorHAnsi"/>
          <w:color w:val="000000"/>
        </w:rPr>
        <w:t>transmisji danych (bez przerw i zakłóceń). Zapewnienie ciągłości sygnału jest niezbędne dla prawidłowego funkcjonowania  urządzeń medycznych.</w:t>
      </w:r>
    </w:p>
    <w:p w14:paraId="3A632286" w14:textId="58CD4416" w:rsidR="008733D1" w:rsidRPr="00D66369" w:rsidRDefault="008733D1" w:rsidP="00D66369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cstheme="minorHAnsi"/>
        </w:rPr>
      </w:pPr>
      <w:r w:rsidRPr="00D66369">
        <w:rPr>
          <w:rFonts w:cstheme="minorHAnsi"/>
          <w:bCs/>
        </w:rPr>
        <w:t xml:space="preserve">Przepisanie numerów będzie zgodne z trybem przewidzianym </w:t>
      </w:r>
      <w:r w:rsidRPr="00D66369">
        <w:rPr>
          <w:rFonts w:cstheme="minorHAnsi"/>
        </w:rPr>
        <w:t xml:space="preserve">przepisami Rozporządzenia Ministra Cyfryzacji z dnia 11 grudnia 2018 r.  w sprawie warunków korzystania z uprawnień </w:t>
      </w:r>
      <w:r w:rsidR="002851E9" w:rsidRPr="00D66369">
        <w:rPr>
          <w:rFonts w:cstheme="minorHAnsi"/>
        </w:rPr>
        <w:br/>
      </w:r>
      <w:r w:rsidRPr="00D66369">
        <w:rPr>
          <w:rFonts w:cstheme="minorHAnsi"/>
        </w:rPr>
        <w:t>w publicznych sieciach telefonicznych (Dz. U. z 2018 r. poz. 2324).</w:t>
      </w:r>
    </w:p>
    <w:p w14:paraId="0830380A" w14:textId="77777777" w:rsidR="008733D1" w:rsidRPr="00D66369" w:rsidRDefault="008733D1" w:rsidP="00D66369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cstheme="minorHAnsi"/>
        </w:rPr>
      </w:pPr>
      <w:r w:rsidRPr="00D66369">
        <w:rPr>
          <w:rFonts w:cstheme="minorHAnsi"/>
        </w:rPr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4864C30" w14:textId="01A6239A" w:rsidR="00161BE0" w:rsidRPr="00D66369" w:rsidRDefault="00161BE0" w:rsidP="00D66369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rFonts w:cstheme="minorHAnsi"/>
        </w:rPr>
      </w:pPr>
      <w:r w:rsidRPr="00D66369">
        <w:rPr>
          <w:rFonts w:cstheme="minorHAnsi"/>
        </w:rPr>
        <w:t>Zamawiający informuje, iż pod pojęciem kart rezerwowych wymienionych w Zadaniu 2 należy to rozumieć jako prawo opcji.</w:t>
      </w:r>
    </w:p>
    <w:p w14:paraId="3CE28471" w14:textId="4CAC766C" w:rsidR="008733D1" w:rsidRPr="00D66369" w:rsidRDefault="008733D1" w:rsidP="00D66369">
      <w:pPr>
        <w:pStyle w:val="Akapitzlist"/>
        <w:numPr>
          <w:ilvl w:val="0"/>
          <w:numId w:val="7"/>
        </w:numPr>
        <w:spacing w:after="120" w:line="360" w:lineRule="auto"/>
        <w:contextualSpacing w:val="0"/>
        <w:rPr>
          <w:rFonts w:cstheme="minorHAnsi"/>
        </w:rPr>
      </w:pPr>
      <w:r w:rsidRPr="00D66369">
        <w:rPr>
          <w:rFonts w:cstheme="minorHAnsi"/>
        </w:rPr>
        <w:t xml:space="preserve">Termin realizacji umowy </w:t>
      </w:r>
      <w:r w:rsidR="00D466B5" w:rsidRPr="00D66369">
        <w:rPr>
          <w:rFonts w:cstheme="minorHAnsi"/>
        </w:rPr>
        <w:t>od 01.01.2025</w:t>
      </w:r>
      <w:r w:rsidRPr="00D66369">
        <w:rPr>
          <w:rFonts w:cstheme="minorHAnsi"/>
        </w:rPr>
        <w:t xml:space="preserve"> r., do 27.06.202</w:t>
      </w:r>
      <w:r w:rsidR="00D466B5" w:rsidRPr="00D66369">
        <w:rPr>
          <w:rFonts w:cstheme="minorHAnsi"/>
        </w:rPr>
        <w:t>6</w:t>
      </w:r>
      <w:r w:rsidRPr="00D66369">
        <w:rPr>
          <w:rFonts w:cstheme="minorHAnsi"/>
        </w:rPr>
        <w:t xml:space="preserve"> r.</w:t>
      </w:r>
    </w:p>
    <w:p w14:paraId="58FFAE5A" w14:textId="77777777" w:rsidR="008733D1" w:rsidRPr="00D66369" w:rsidRDefault="008733D1" w:rsidP="00D66369">
      <w:pPr>
        <w:pStyle w:val="Akapitzlist"/>
        <w:numPr>
          <w:ilvl w:val="0"/>
          <w:numId w:val="7"/>
        </w:numPr>
        <w:spacing w:after="200" w:line="360" w:lineRule="auto"/>
        <w:rPr>
          <w:rFonts w:cstheme="minorHAnsi"/>
        </w:rPr>
      </w:pPr>
      <w:r w:rsidRPr="00D66369">
        <w:rPr>
          <w:rFonts w:cstheme="minorHAnsi"/>
        </w:rPr>
        <w:t>Pozostałe warunki określa umowa.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7649E9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7649E9">
          <w:rPr>
            <w:rFonts w:ascii="Calibri" w:hAnsi="Calibri" w:cs="Arial"/>
            <w:noProof/>
          </w:rPr>
          <w:t>2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42E87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B2F58EF"/>
    <w:multiLevelType w:val="hybridMultilevel"/>
    <w:tmpl w:val="96B29704"/>
    <w:lvl w:ilvl="0" w:tplc="13AAE8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654E5"/>
    <w:multiLevelType w:val="hybridMultilevel"/>
    <w:tmpl w:val="17C688E0"/>
    <w:lvl w:ilvl="0" w:tplc="4FFCE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01DF"/>
    <w:rsid w:val="00041797"/>
    <w:rsid w:val="00044A3C"/>
    <w:rsid w:val="0005533E"/>
    <w:rsid w:val="0006451E"/>
    <w:rsid w:val="000667F7"/>
    <w:rsid w:val="00077ACA"/>
    <w:rsid w:val="00084569"/>
    <w:rsid w:val="00084F05"/>
    <w:rsid w:val="0008670F"/>
    <w:rsid w:val="00090705"/>
    <w:rsid w:val="000A447D"/>
    <w:rsid w:val="000A7336"/>
    <w:rsid w:val="000E1393"/>
    <w:rsid w:val="000F49D9"/>
    <w:rsid w:val="00107CE2"/>
    <w:rsid w:val="001269FE"/>
    <w:rsid w:val="00161BE0"/>
    <w:rsid w:val="00181468"/>
    <w:rsid w:val="00191E6A"/>
    <w:rsid w:val="001A0AFE"/>
    <w:rsid w:val="001A5BEE"/>
    <w:rsid w:val="001B4A81"/>
    <w:rsid w:val="001E4B29"/>
    <w:rsid w:val="001E5785"/>
    <w:rsid w:val="001F7AD0"/>
    <w:rsid w:val="00206922"/>
    <w:rsid w:val="00213D13"/>
    <w:rsid w:val="00215D76"/>
    <w:rsid w:val="0021715A"/>
    <w:rsid w:val="00233074"/>
    <w:rsid w:val="00242BE7"/>
    <w:rsid w:val="00252C39"/>
    <w:rsid w:val="00252E51"/>
    <w:rsid w:val="002575E3"/>
    <w:rsid w:val="002851E9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11A7D"/>
    <w:rsid w:val="004120AF"/>
    <w:rsid w:val="00457CDF"/>
    <w:rsid w:val="0046389B"/>
    <w:rsid w:val="00463CE3"/>
    <w:rsid w:val="004736A5"/>
    <w:rsid w:val="0048249F"/>
    <w:rsid w:val="00486099"/>
    <w:rsid w:val="00487837"/>
    <w:rsid w:val="00495A0B"/>
    <w:rsid w:val="004A0A55"/>
    <w:rsid w:val="004B1527"/>
    <w:rsid w:val="004B2FE4"/>
    <w:rsid w:val="004C181A"/>
    <w:rsid w:val="004C5A4B"/>
    <w:rsid w:val="004D188A"/>
    <w:rsid w:val="004E179C"/>
    <w:rsid w:val="00503732"/>
    <w:rsid w:val="00504D80"/>
    <w:rsid w:val="0051238E"/>
    <w:rsid w:val="0051457C"/>
    <w:rsid w:val="0053447E"/>
    <w:rsid w:val="00535E35"/>
    <w:rsid w:val="00554568"/>
    <w:rsid w:val="00555DF2"/>
    <w:rsid w:val="00564FA2"/>
    <w:rsid w:val="0057782D"/>
    <w:rsid w:val="00587B91"/>
    <w:rsid w:val="005901D1"/>
    <w:rsid w:val="00594AD6"/>
    <w:rsid w:val="00597B1F"/>
    <w:rsid w:val="005C3DE2"/>
    <w:rsid w:val="005E1718"/>
    <w:rsid w:val="005F7ABA"/>
    <w:rsid w:val="0062358C"/>
    <w:rsid w:val="0064000C"/>
    <w:rsid w:val="00640407"/>
    <w:rsid w:val="0064123A"/>
    <w:rsid w:val="006459F2"/>
    <w:rsid w:val="0064683E"/>
    <w:rsid w:val="00647701"/>
    <w:rsid w:val="00661B8D"/>
    <w:rsid w:val="006879A2"/>
    <w:rsid w:val="006932B8"/>
    <w:rsid w:val="00694E45"/>
    <w:rsid w:val="006A31A5"/>
    <w:rsid w:val="006A705C"/>
    <w:rsid w:val="006E2235"/>
    <w:rsid w:val="006E4CD4"/>
    <w:rsid w:val="00703AB2"/>
    <w:rsid w:val="007045D8"/>
    <w:rsid w:val="007078A1"/>
    <w:rsid w:val="007164E8"/>
    <w:rsid w:val="00716FE7"/>
    <w:rsid w:val="00722630"/>
    <w:rsid w:val="007636FC"/>
    <w:rsid w:val="007649E9"/>
    <w:rsid w:val="00773CEF"/>
    <w:rsid w:val="00774262"/>
    <w:rsid w:val="00786617"/>
    <w:rsid w:val="007B2F91"/>
    <w:rsid w:val="007C4D45"/>
    <w:rsid w:val="008068DF"/>
    <w:rsid w:val="00837668"/>
    <w:rsid w:val="008520F3"/>
    <w:rsid w:val="0085518B"/>
    <w:rsid w:val="00864372"/>
    <w:rsid w:val="0086609F"/>
    <w:rsid w:val="008733D1"/>
    <w:rsid w:val="008834DB"/>
    <w:rsid w:val="00890207"/>
    <w:rsid w:val="00894830"/>
    <w:rsid w:val="00894E28"/>
    <w:rsid w:val="008A0FA4"/>
    <w:rsid w:val="008C3262"/>
    <w:rsid w:val="008C6718"/>
    <w:rsid w:val="008C74F9"/>
    <w:rsid w:val="008D4CDD"/>
    <w:rsid w:val="00906939"/>
    <w:rsid w:val="00910598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D3ED6"/>
    <w:rsid w:val="00AE5CD0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93E27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87875"/>
    <w:rsid w:val="00C97E30"/>
    <w:rsid w:val="00CA166D"/>
    <w:rsid w:val="00CA2659"/>
    <w:rsid w:val="00CA4E74"/>
    <w:rsid w:val="00CB0376"/>
    <w:rsid w:val="00CB1742"/>
    <w:rsid w:val="00D06F0F"/>
    <w:rsid w:val="00D079DD"/>
    <w:rsid w:val="00D36535"/>
    <w:rsid w:val="00D466B5"/>
    <w:rsid w:val="00D46BB3"/>
    <w:rsid w:val="00D57212"/>
    <w:rsid w:val="00D66369"/>
    <w:rsid w:val="00D71097"/>
    <w:rsid w:val="00D714D8"/>
    <w:rsid w:val="00D757D8"/>
    <w:rsid w:val="00D82431"/>
    <w:rsid w:val="00D870DA"/>
    <w:rsid w:val="00DA0686"/>
    <w:rsid w:val="00DA69EC"/>
    <w:rsid w:val="00DB0972"/>
    <w:rsid w:val="00DB3653"/>
    <w:rsid w:val="00DC2431"/>
    <w:rsid w:val="00DD0AE9"/>
    <w:rsid w:val="00DD14B4"/>
    <w:rsid w:val="00DE6A07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92675"/>
    <w:rsid w:val="00EA026D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B7747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20</cp:revision>
  <cp:lastPrinted>2024-11-21T11:13:00Z</cp:lastPrinted>
  <dcterms:created xsi:type="dcterms:W3CDTF">2024-06-14T05:57:00Z</dcterms:created>
  <dcterms:modified xsi:type="dcterms:W3CDTF">2024-11-21T11:13:00Z</dcterms:modified>
</cp:coreProperties>
</file>