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92" w:rsidRPr="003332EA" w:rsidRDefault="00041992" w:rsidP="00041992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="00A368F5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35/2022 z dnia 28 listopada 2022</w:t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roku Dyrektora Wojewódzkiej Stacji Pogotowia Ratunkowego w Olsztynie  w sprawie zasad organizowania przetargu na sprzedaż środków trwałych w Wojewódzkiej Stacji Pogotowia Ratunkowego  w Olsztynie</w:t>
      </w:r>
    </w:p>
    <w:p w:rsidR="00041992" w:rsidRPr="003332EA" w:rsidRDefault="00041992" w:rsidP="00041992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:rsidR="00041992" w:rsidRPr="003332EA" w:rsidRDefault="00041992" w:rsidP="0004199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  <w:r w:rsidR="00A368F5">
        <w:rPr>
          <w:rFonts w:eastAsia="Times New Roman" w:cs="Times New Roman"/>
        </w:rPr>
        <w:t>Wadium wymagane jest w przypadku zakupu przedmiotów o wart</w:t>
      </w:r>
      <w:bookmarkStart w:id="0" w:name="_GoBack"/>
      <w:bookmarkEnd w:id="0"/>
      <w:r w:rsidR="00A368F5">
        <w:rPr>
          <w:rFonts w:eastAsia="Times New Roman" w:cs="Times New Roman"/>
        </w:rPr>
        <w:t>ości powyżej 200 zł ceny wywoławczej.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Regulamin przetargu jest dostępny na stronie internetowej WSPR w Olsztynie 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zakładka SPRZEDAŻ ŚRODKÓW TRWAŁYCH </w:t>
      </w:r>
    </w:p>
    <w:p w:rsidR="00C566C0" w:rsidRDefault="00C566C0"/>
    <w:sectPr w:rsidR="00C5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2"/>
    <w:rsid w:val="00041992"/>
    <w:rsid w:val="00250CDB"/>
    <w:rsid w:val="002C1769"/>
    <w:rsid w:val="00604D90"/>
    <w:rsid w:val="00A368F5"/>
    <w:rsid w:val="00C566C0"/>
    <w:rsid w:val="00D824D8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Kowalski</dc:creator>
  <cp:keywords/>
  <dc:description/>
  <cp:lastModifiedBy>Iza</cp:lastModifiedBy>
  <cp:revision>3</cp:revision>
  <dcterms:created xsi:type="dcterms:W3CDTF">2019-11-28T11:37:00Z</dcterms:created>
  <dcterms:modified xsi:type="dcterms:W3CDTF">2024-01-12T12:06:00Z</dcterms:modified>
</cp:coreProperties>
</file>